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Конфигурирование и настройка сервера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конфигурирование-и-настройка-сервера"/>
    <w:p>
      <w:pPr>
        <w:pStyle w:val="Heading1"/>
      </w:pPr>
      <w:r>
        <w:t xml:space="preserve">Конфигурирование и настройка сервера</w:t>
      </w:r>
    </w:p>
    <w:p>
      <w:pPr>
        <w:pStyle w:val="FirstParagraph"/>
      </w:pPr>
      <w:r>
        <w:t xml:space="preserve">Раздел описывает режимы работы TCP/IP сервера ИРБИС 64, поддержку клиентских INI-файлов, административные особенности работы серверного ядра и справочник параметров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bookmarkStart w:id="9" w:name="режимы-работы-сервера"/>
    <w:p>
      <w:pPr>
        <w:pStyle w:val="Heading2"/>
      </w:pPr>
      <w:r>
        <w:t xml:space="preserve">Режимы работы сервера</w:t>
      </w:r>
    </w:p>
    <w:p>
      <w:pPr>
        <w:pStyle w:val="FirstParagraph"/>
      </w:pPr>
      <w:r>
        <w:t xml:space="preserve">TCP/IP сервер ИРБИС 64 поддерживает три основных режима работы:</w:t>
      </w:r>
    </w:p>
    <w:p>
      <w:pPr>
        <w:pStyle w:val="Compact"/>
        <w:numPr>
          <w:ilvl w:val="0"/>
          <w:numId w:val="1001"/>
        </w:numPr>
      </w:pPr>
      <w:r>
        <w:t xml:space="preserve">обычный режим: запрос принимается в основном потоке сервера;</w:t>
      </w:r>
    </w:p>
    <w:p>
      <w:pPr>
        <w:pStyle w:val="Compact"/>
        <w:numPr>
          <w:ilvl w:val="0"/>
          <w:numId w:val="1001"/>
        </w:numPr>
      </w:pPr>
      <w:r>
        <w:t xml:space="preserve">многопотоковое чтение-запись: запрос принимается в отдельном потоке;</w:t>
      </w:r>
    </w:p>
    <w:p>
      <w:pPr>
        <w:pStyle w:val="Compact"/>
        <w:numPr>
          <w:ilvl w:val="0"/>
          <w:numId w:val="1001"/>
        </w:numPr>
      </w:pPr>
      <w:r>
        <w:t xml:space="preserve">многопроцессорное чтение-запись: запрос принимается в отдельном процессе.</w:t>
      </w:r>
    </w:p>
    <w:p>
      <w:pPr>
        <w:pStyle w:val="FirstParagraph"/>
      </w:pPr>
      <w:r>
        <w:t xml:space="preserve">После запуска процесса обработки сервер должен получить сигнал о готовности результата и забрать этот результат.</w:t>
      </w:r>
    </w:p>
    <w:p>
      <w:pPr>
        <w:pStyle w:val="BodyText"/>
      </w:pPr>
      <w:r>
        <w:t xml:space="preserve">В обычном и многопотоковом режиме используются одни и те же механизмы обмена сообщениями с процессами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Многопроцессорный режим дополнительно использует сообщение от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к серверу: оно сообщает об окончании чтения запроса от клиента и передаёт данные для обновления списков зарегистрированных клиентов и процессов.</w:t>
      </w:r>
    </w:p>
    <w:p>
      <w:pPr>
        <w:pStyle w:val="BodyText"/>
      </w:pPr>
      <w:r>
        <w:t xml:space="preserve">Обычно серверу достаточно Windows-сообщения о готовности ответа. На сильно нагруженных системах такие сообщения могут не доставляться операционной системой. В этом случае можно использовать вариант с TCP/IP-запросом по внутреннему порту сервера.</w:t>
      </w:r>
    </w:p>
    <w:p>
      <w:pPr>
        <w:pStyle w:val="BodyText"/>
      </w:pPr>
      <w:r>
        <w:t xml:space="preserve">Ответ от процесса обработки к серверу может передаваться двумя способами:</w:t>
      </w:r>
    </w:p>
    <w:p>
      <w:pPr>
        <w:pStyle w:val="Compact"/>
        <w:numPr>
          <w:ilvl w:val="0"/>
          <w:numId w:val="1002"/>
        </w:numPr>
      </w:pPr>
      <w:r>
        <w:t xml:space="preserve">через файл на диске: медленнее, но надёжнее;</w:t>
      </w:r>
    </w:p>
    <w:p>
      <w:pPr>
        <w:pStyle w:val="Compact"/>
        <w:numPr>
          <w:ilvl w:val="0"/>
          <w:numId w:val="1002"/>
        </w:numPr>
      </w:pPr>
      <w:r>
        <w:t xml:space="preserve">через мэпированный файл в системной памяти: быстрее, но объём ограничен параметрами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FirstParagraph"/>
      </w:pPr>
      <w:r>
        <w:t xml:space="preserve">Режим отладки доступен только при обмене через файлы: файлы запросов и ответов не удаляются и остаются в каталоге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. При отладке нужно контролировать размер и количество файлов в этом каталоге, иначе работа сервера может заметно замедлиться.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Основные 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Обычный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Многопотоковый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Многопроцессорный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DUPLICATE_SOCKETS=1</w:t>
            </w:r>
            <w:r>
              <w:t xml:space="preserve">;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</w:t>
            </w:r>
            <w:r>
              <w:t xml:space="preserve"> </w:t>
            </w:r>
            <w:r>
              <w:t xml:space="preserve">роли не играет</w:t>
            </w:r>
          </w:p>
        </w:tc>
      </w:tr>
    </w:tbl>
    <w:p/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Способ обмена с процессами обработки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файл для обычного и многопотокового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мэпированный файл для обычного и многопотокового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MappingFileSize=1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файл для многопроцессорного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мэпированный файл для многопроцессорного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Dup_MappingFileSize=100</w:t>
            </w:r>
          </w:p>
        </w:tc>
      </w:tr>
    </w:tbl>
    <w:p/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Вид сообщения от процесса обработки к серверу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Windows-сообщение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RegisterWindowMessage=0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Зарегистрированное в Windows сообщение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RegisterWindowMessage=1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TCP/IP-запрос по внутреннему порту сервера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IP_PORT_LOCAL=7778</w:t>
            </w:r>
          </w:p>
        </w:tc>
      </w:tr>
    </w:tbl>
    <w:bookmarkEnd w:id="9"/>
    <w:bookmarkStart w:id="22" w:name="X7f50615677101ca09e38867962cb9440aacecb7"/>
    <w:p>
      <w:pPr>
        <w:pStyle w:val="Heading2"/>
      </w:pPr>
      <w:r>
        <w:t xml:space="preserve">Описание параметров INI-файла сервера ИРБИС 64</w:t>
      </w:r>
    </w:p>
    <w:p>
      <w:pPr>
        <w:pStyle w:val="FirstParagraph"/>
      </w:pPr>
      <w:r>
        <w:t xml:space="preserve">Раздел описывает параметры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управляющие общими настройками сервера, межпроцессным взаимодействием, параллельной обработкой, кэшированием форматирования, перенаправлением запросов и другими режимами TCP/IP сервера ИРБИС 64.</w:t>
      </w:r>
    </w:p>
    <w:bookmarkStart w:id="10" w:name="общие-параметры"/>
    <w:p>
      <w:pPr>
        <w:pStyle w:val="Heading3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10"/>
    <w:bookmarkStart w:id="11" w:name="параметры-межпроцессного-взаимодействия"/>
    <w:p>
      <w:pPr>
        <w:pStyle w:val="Heading3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11"/>
    <w:bookmarkStart w:id="12" w:name="Xce53b693cf5edb94026eb8b68c18c39abd456d8"/>
    <w:p>
      <w:pPr>
        <w:pStyle w:val="Heading3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12"/>
    <w:bookmarkStart w:id="13" w:name="X6b291f744f4a482c48abc177bfbdc921ef25bbd"/>
    <w:p>
      <w:pPr>
        <w:pStyle w:val="Heading3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13"/>
    <w:bookmarkStart w:id="14" w:name="опции-кэширования-при-форматировании"/>
    <w:p>
      <w:pPr>
        <w:pStyle w:val="Heading3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14"/>
    <w:bookmarkStart w:id="15" w:name="установка-пользовательских-шрифтов"/>
    <w:p>
      <w:pPr>
        <w:pStyle w:val="Heading3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15"/>
    <w:bookmarkStart w:id="16" w:name="многопроцессорный-режим"/>
    <w:p>
      <w:pPr>
        <w:pStyle w:val="Heading3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16"/>
    <w:bookmarkStart w:id="17" w:name="Xe5203edb5f7afed8a355e159c7a2c0296ab178b"/>
    <w:p>
      <w:pPr>
        <w:pStyle w:val="Heading3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17"/>
    <w:bookmarkStart w:id="18" w:name="X2f4f3603d6ef4517506e4d2469232898ecb6b11"/>
    <w:p>
      <w:pPr>
        <w:pStyle w:val="Heading3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18"/>
    <w:bookmarkStart w:id="19" w:name="Xe25292c63c5cd462af23ca5a6cf1e0b696070e4"/>
    <w:p>
      <w:pPr>
        <w:pStyle w:val="Heading3"/>
      </w:pPr>
      <w:r>
        <w:t xml:space="preserve">Параметры перенаправления запроса на другой сервер ИРБИС 64</w:t>
      </w:r>
    </w:p>
    <w:p>
      <w:pPr>
        <w:pStyle w:val="FirstParagraph"/>
      </w:pPr>
      <w:r>
        <w:t xml:space="preserve">Режим перенаправления включается, когда в имени базы данных в меню типа</w:t>
      </w:r>
      <w:r>
        <w:t xml:space="preserve"> </w:t>
      </w:r>
      <w:r>
        <w:rPr>
          <w:rStyle w:val="VerbatimChar"/>
        </w:rPr>
        <w:t xml:space="preserve">dbnam.mnu</w:t>
      </w:r>
      <w:r>
        <w:t xml:space="preserve"> </w:t>
      </w:r>
      <w:r>
        <w:t xml:space="preserve">указаны признак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и адрес перенаправления. Пример:</w:t>
      </w:r>
    </w:p>
    <w:p>
      <w:pPr>
        <w:pStyle w:val="SourceCode"/>
      </w:pPr>
      <w:r>
        <w:rPr>
          <w:rStyle w:val="VerbatimChar"/>
        </w:rPr>
        <w:t xml:space="preserve">IBIS%SERVER1%</w:t>
      </w:r>
    </w:p>
    <w:p>
      <w:pPr>
        <w:pStyle w:val="FirstParagraph"/>
      </w:pPr>
      <w:r>
        <w:t xml:space="preserve">Адрес перенаправления сервер ищет в секции</w:t>
      </w:r>
      <w:r>
        <w:t xml:space="preserve"> </w:t>
      </w:r>
      <w:r>
        <w:rPr>
          <w:rStyle w:val="VerbatimChar"/>
        </w:rPr>
        <w:t xml:space="preserve">REDIRECT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[REDIRECT]</w:t>
      </w:r>
      <w:r>
        <w:br/>
      </w:r>
      <w:r>
        <w:rPr>
          <w:rStyle w:val="DataTypeTok"/>
        </w:rPr>
        <w:t xml:space="preserve">SERVER1</w:t>
      </w:r>
      <w:r>
        <w:rPr>
          <w:rStyle w:val="OtherTok"/>
        </w:rPr>
        <w:t xml:space="preserve">=</w:t>
      </w:r>
      <w:r>
        <w:rPr>
          <w:rStyle w:val="StringTok"/>
        </w:rPr>
        <w:t xml:space="preserve">192.168.4.204:7777</w:t>
      </w:r>
    </w:p>
    <w:p>
      <w:pPr>
        <w:pStyle w:val="FirstParagraph"/>
      </w:pPr>
      <w:r>
        <w:t xml:space="preserve">Перенаправление не поддерживается функциями форматирования. Поэтому при связных базах данных, где используются связи через форматирование, система может работать неправильно.</w:t>
      </w:r>
    </w:p>
    <w:p>
      <w:pPr>
        <w:pStyle w:val="BodyText"/>
      </w:pPr>
      <w:r>
        <w:t xml:space="preserve">Перенаправление не требует регистрации на другом сервере, но требует разрешения обработки запроса в секции</w:t>
      </w:r>
      <w:r>
        <w:t xml:space="preserve"> </w:t>
      </w:r>
      <w:r>
        <w:rPr>
          <w:rStyle w:val="VerbatimChar"/>
        </w:rPr>
        <w:t xml:space="preserve">MAIN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CHECK_REDIRECT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 умолчанию</w:t>
      </w:r>
      <w:r>
        <w:t xml:space="preserve"> </w:t>
      </w:r>
      <w:r>
        <w:rPr>
          <w:rStyle w:val="VerbatimChar"/>
        </w:rPr>
        <w:t xml:space="preserve">CHECK_REDIRECT=0</w:t>
      </w:r>
      <w:r>
        <w:t xml:space="preserve">.</w:t>
      </w:r>
    </w:p>
    <w:bookmarkEnd w:id="19"/>
    <w:bookmarkStart w:id="20" w:name="X9a8527216eb53d16aba11a119ff8a98ac1718b7"/>
    <w:p>
      <w:pPr>
        <w:pStyle w:val="Heading3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20"/>
    <w:bookmarkStart w:id="21" w:name="время-обработки-запроса"/>
    <w:p>
      <w:pPr>
        <w:pStyle w:val="Heading3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21"/>
    <w:bookmarkEnd w:id="22"/>
    <w:bookmarkStart w:id="23" w:name="поддержка-клиентских-ini-файлов"/>
    <w:p>
      <w:pPr>
        <w:pStyle w:val="Heading2"/>
      </w:pPr>
      <w:r>
        <w:t xml:space="preserve">Поддержка клиентских INI-файлов</w:t>
      </w:r>
    </w:p>
    <w:p>
      <w:pPr>
        <w:pStyle w:val="FirstParagraph"/>
      </w:pPr>
      <w:r>
        <w:t xml:space="preserve">Работа клиентов ИРБИС 64 управляется двумя INI-файлами: клиентским и серверным.</w:t>
      </w:r>
    </w:p>
    <w:p>
      <w:pPr>
        <w:pStyle w:val="BodyText"/>
      </w:pPr>
      <w:r>
        <w:t xml:space="preserve">Имя серверного INI-файла определяется при регистрации клиента. Его можно изменить в режиме</w:t>
      </w:r>
      <w:r>
        <w:t xml:space="preserve"> </w:t>
      </w:r>
      <w:r>
        <w:rPr>
          <w:rStyle w:val="VerbatimChar"/>
        </w:rPr>
        <w:t xml:space="preserve">Список клиентов для доступа к серверу</w:t>
      </w:r>
      <w:r>
        <w:t xml:space="preserve"> </w:t>
      </w:r>
      <w:r>
        <w:t xml:space="preserve">на сервере ИРБИС 64.</w:t>
      </w:r>
    </w:p>
    <w:p>
      <w:pPr>
        <w:pStyle w:val="BodyText"/>
      </w:pPr>
      <w:r>
        <w:t xml:space="preserve">Для входа в систему в исходной поставке могут использоваться тестовые учётные данные: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MASTERKEY</w:t>
            </w:r>
          </w:p>
        </w:tc>
      </w:tr>
    </w:tbl>
    <w:p>
      <w:pPr>
        <w:pStyle w:val="BodyText"/>
      </w:pPr>
      <w:r>
        <w:t xml:space="preserve">Серверные клиентские INI-файлы могут иметь вложенную структуру. Вложенный INI-файл подключается специальной секцией:</w:t>
      </w:r>
    </w:p>
    <w:p>
      <w:pPr>
        <w:pStyle w:val="SourceCode"/>
      </w:pPr>
      <w:r>
        <w:rPr>
          <w:rStyle w:val="KeywordTok"/>
        </w:rPr>
        <w:t xml:space="preserve">[@имя_вложенного_файла]</w:t>
      </w:r>
    </w:p>
    <w:p>
      <w:pPr>
        <w:pStyle w:val="FirstParagraph"/>
      </w:pPr>
      <w:r>
        <w:t xml:space="preserve">Содержимое подключённого таким образом INI-файла сервером не изменяется.</w:t>
      </w:r>
    </w:p>
    <w:bookmarkEnd w:id="23"/>
    <w:bookmarkStart w:id="24" w:name="несколько-замечаний-для-администраторов"/>
    <w:p>
      <w:pPr>
        <w:pStyle w:val="Heading2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24"/>
    <w:bookmarkStart w:id="28" w:name="блок-схема-работы-сервера-ирбис-64"/>
    <w:p>
      <w:pPr>
        <w:pStyle w:val="Heading2"/>
      </w:pPr>
      <w:r>
        <w:t xml:space="preserve">Блок-схема работы сервера ИРБИС 64</w:t>
      </w:r>
    </w:p>
    <w:p>
      <w:pPr>
        <w:pStyle w:val="FirstParagraph"/>
      </w:pPr>
      <w:r>
        <w:t xml:space="preserve">Блок-схема показывает варианты организации сетевого чтения-записи и обработки запросов:</w:t>
      </w:r>
    </w:p>
    <w:p>
      <w:pPr>
        <w:pStyle w:val="Compact"/>
        <w:numPr>
          <w:ilvl w:val="0"/>
          <w:numId w:val="1003"/>
        </w:numPr>
      </w:pPr>
      <w:r>
        <w:t xml:space="preserve">последовательное сетевое чтение-запись на сервере и параллельная обработка запросов в процессах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параллельное сетевое чтение-запись на сервере и параллельная обработка запроса при многократном использовании процесса обработки;</w:t>
      </w:r>
    </w:p>
    <w:p>
      <w:pPr>
        <w:pStyle w:val="Compact"/>
        <w:numPr>
          <w:ilvl w:val="0"/>
          <w:numId w:val="1003"/>
        </w:numPr>
      </w:pPr>
      <w:r>
        <w:t xml:space="preserve">многопроцессорное сетевое чтение-запись в процессах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</w:t>
      </w:r>
    </w:p>
    <w:p>
      <w:pPr>
        <w:pStyle w:val="CaptionedFigure"/>
      </w:pPr>
      <w:r>
        <w:drawing>
          <wp:inline>
            <wp:extent cx="5334000" cy="4370438"/>
            <wp:effectExtent b="0" l="0" r="0" t="0"/>
            <wp:docPr descr="Рисунок 1 - Блок-схема работы сервера ИРБИС 64" title="Блок-схема работы сервера ИРБИС 64" id="26" name="Picture"/>
            <a:graphic>
              <a:graphicData uri="http://schemas.openxmlformats.org/drawingml/2006/picture">
                <pic:pic>
                  <pic:nvPicPr>
                    <pic:cNvPr descr="modules/Help/Help/TCPIPServer/Configuring/Pic1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7043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Блок-схема работы сервера ИРБИС 64</w:t>
      </w:r>
    </w:p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5" Target="media/rId25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Конфигурирование и настройка сервера</dc:title>
  <dc:creator/>
  <cp:keywords/>
  <dcterms:created xsi:type="dcterms:W3CDTF">2026-11-08T02:17:17Z</dcterms:created>
  <dcterms:modified xsi:type="dcterms:W3CDTF">2026-11-08T02:17:17Z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