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парсера импортируемых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парсера-импортируемых-файлов"/>
    <w:p>
      <w:pPr>
        <w:pStyle w:val="Heading1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9" w:name="что-должен-вернуть-парсер"/>
    <w:p>
      <w:pPr>
        <w:pStyle w:val="Heading2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9"/>
    <w:bookmarkStart w:id="10" w:name="связь-с-функцией-слияния"/>
    <w:p>
      <w:pPr>
        <w:pStyle w:val="Heading2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0"/>
    <w:bookmarkStart w:id="11" w:name="практические-правила"/>
    <w:p>
      <w:pPr>
        <w:pStyle w:val="Heading2"/>
      </w:pPr>
      <w:r>
        <w:t xml:space="preserve">3. Практические правила</w:t>
      </w:r>
    </w:p>
    <w:p>
      <w:pPr>
        <w:pStyle w:val="Compact"/>
        <w:numPr>
          <w:ilvl w:val="0"/>
          <w:numId w:val="1003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3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3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3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парсера импортируемых файлов</dc:title>
  <dc:creator/>
  <cp:keywords/>
  <dcterms:created xsi:type="dcterms:W3CDTF">2026-11-06T03:31:34Z</dcterms:created>
  <dcterms:modified xsi:type="dcterms:W3CDTF">2026-11-06T03:31:34Z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