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&amp;uf(’+2… - Выполнить внешнее приложение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2---выполнить-внешнее-приложение"/>
    <w:p>
      <w:pPr>
        <w:pStyle w:val="Heading1"/>
      </w:pPr>
      <w:r>
        <w:t xml:space="preserve">&amp;uf(’+2… - Выполнить внешнее приложение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Выполняет внешнее приложение. Всё, что после +2 – параметры командной строки.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+2&lt;cmd string&gt;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&lt;cmd string&gt; - командная строка для исполнения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&amp;unifor('+2cmd')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&amp;uf(’+2… - Выполнить внешнее приложение</dc:title>
  <dc:creator/>
  <cp:keywords/>
  <dcterms:created xsi:type="dcterms:W3CDTF">2026-11-08T12:24:57Z</dcterms:created>
  <dcterms:modified xsi:type="dcterms:W3CDTF">2026-11-08T12:24:57Z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