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1.png" ContentType="image/png"/>
  <Override PartName="/word/media/rId37.png" ContentType="image/png"/>
  <Override PartName="/word/media/rId25.png" ContentType="image/png"/>
  <Override PartName="/word/media/rId43.png" ContentType="image/png"/>
  <Override PartName="/word/media/rId40.png" ContentType="image/png"/>
  <Override PartName="/word/media/rId15.png" ContentType="image/png"/>
  <Override PartName="/word/media/rId34.png" ContentType="image/png"/>
  <Override PartName="/word/media/rId28.png" ContentType="image/png"/>
  <Override PartName="/word/media/rId12.png" ContentType="image/png"/>
  <Override PartName="/word/media/rId22.png" ContentType="image/png"/>
  <Override PartName="/word/media/rId9.png" ContentType="image/png"/>
  <Override PartName="/word/media/rId1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«ЭДД»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7" w:name="форма-эдд"/>
    <w:p>
      <w:pPr>
        <w:pStyle w:val="Heading1"/>
      </w:pPr>
      <w:r>
        <w:t xml:space="preserve">Форма «ЭДД»</w:t>
      </w:r>
    </w:p>
    <w:p>
      <w:pPr>
        <w:pStyle w:val="FirstParagraph"/>
      </w:pPr>
      <w:r>
        <w:t xml:space="preserve">Форма «ЭДД» предназначена для обработки заявок электронной доставки документов. Форма доступна, если в профиле книговыдачи включена подсистема ЭДД.</w:t>
      </w:r>
    </w:p>
    <w:p>
      <w:pPr>
        <w:pStyle w:val="CaptionedFigure"/>
      </w:pPr>
      <w:r>
        <w:drawing>
          <wp:inline>
            <wp:extent cx="5334000" cy="2055491"/>
            <wp:effectExtent b="0" l="0" r="0" t="0"/>
            <wp:docPr descr="Рисунок 1 - Форма «ЭДД» в интерфейсе АРМ «Книговыдача»" title="Форма «ЭДД» в интерфейсе АРМ «Книговыдача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549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«ЭДД» в интерфейсе АРМ «Книговыдача»</w:t>
      </w:r>
    </w:p>
    <w:p>
      <w:pPr>
        <w:pStyle w:val="BodyText"/>
      </w:pPr>
      <w:r>
        <w:t xml:space="preserve">В таблице отображаются свободные экземпляры, шифр, описание издания, дата заявки, идентификатор пользователя, пользователь, примечание пользователя, база данных и сведения о страницах. Состав колонок может быть расширен настройками профиля.</w:t>
      </w:r>
    </w:p>
    <w:p>
      <w:pPr>
        <w:pStyle w:val="BodyText"/>
      </w:pPr>
      <w:r>
        <w:t xml:space="preserve">Для выполнения заявки могут потребоваться подготовленные файлы результата ЭДД и права оператора на обработку выбранной записи.</w:t>
      </w:r>
    </w:p>
    <w:bookmarkStart w:id="46" w:name="кнопки-тулбара"/>
    <w:p>
      <w:pPr>
        <w:pStyle w:val="Heading2"/>
      </w:pPr>
      <w:r>
        <w:t xml:space="preserve">1. Кнопки тулбара</w:t>
      </w:r>
    </w:p>
    <w:p>
      <w:pPr>
        <w:pStyle w:val="FirstParagraph"/>
      </w:pPr>
      <w:r>
        <w:t xml:space="preserve">Кнопки тулбара работают с текущей строкой таблицы заявок ЭДД или с набором записей списка. Часть кнопок доступна только после выбора строки и только если заявка допускает соответствующую операцию.</w:t>
      </w:r>
    </w:p>
    <w:p>
      <w:pPr>
        <w:pStyle w:val="BodyText"/>
      </w:pPr>
      <w:r>
        <w:t xml:space="preserve">Кнопка редактирования текущей записи открывает редактор заявки ЭДД. В редакторе доступны поля заявки, сведения о страницах и технологическая информация. Изменения применяются только после сохранения записи.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2 - Редактор записи заявки ЭДД" title="Редактор записи заявки ЭДД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qst-edit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записи заявки ЭДД</w:t>
      </w:r>
    </w:p>
    <w:p>
      <w:pPr>
        <w:pStyle w:val="BodyText"/>
      </w:pPr>
      <w:r>
        <w:t xml:space="preserve">Кнопка «Списки…» открывает окно выбора формата списка записей. В окне выбирается область вывода: все записи, отмеченные на текущей странице или все, кроме отмеченных. После выбора формата и нажатия «Ok» формируется печатный список заявок ЭДД.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3 - Окно «Списки…» формы «ЭДД»" title="Окно «Списки...» формы «ЭДД»" id="16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lists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«Списки…» формы «ЭДД»</w:t>
      </w:r>
    </w:p>
    <w:p>
      <w:pPr>
        <w:pStyle w:val="BodyText"/>
      </w:pPr>
      <w:r>
        <w:t xml:space="preserve">Кнопка «Таблицы…» открывает окно выбора табличной выходной формы. В нем выбирается область вывода и выходная форма, после чего кнопка «Ok» запускает формирование результата. После завершения файл скачивается из окна выполнения операции; порядок описан в разделе</w:t>
      </w:r>
      <w:r>
        <w:t xml:space="preserve"> </w:t>
      </w:r>
      <w:hyperlink r:id="rId18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«Таблицы…» формы «ЭДД»" title="Окно «Таблицы...» формы «ЭДД»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tables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«Таблицы…» формы «ЭДД»</w:t>
      </w:r>
    </w:p>
    <w:p>
      <w:pPr>
        <w:pStyle w:val="BodyText"/>
      </w:pPr>
      <w:r>
        <w:t xml:space="preserve">Кнопка «Статистические формы» открывает окно выбора статистической формы. Пользователь выбирает область записей и статистическую форму, затем подтверждает построение кнопкой «Ok». Результат скачивается из окна выполнения операции.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5 - Окно «Статистические формы» формы «ЭДД»" title="Окно «Статистические формы» формы «ЭДД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statform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«Статистические формы» формы «ЭДД»</w:t>
      </w:r>
    </w:p>
    <w:p>
      <w:pPr>
        <w:pStyle w:val="BodyText"/>
      </w:pPr>
      <w:r>
        <w:t xml:space="preserve">Кнопка «Выполнить» открывает окно «Исполнение заказа на оцифровку». В окне есть поле «Файл с результатом сканирования» с кнопкой «Выбрать» и поле «Количество отсканированных страниц». Кнопка «Исполнить заказ» загружает файл, сохраняет его в записи заявки, записывает дату выполнения, количество страниц и ссылку на получение результата ЭДД. Кнопка «Отмена» закрывает окно без изменений. Если в профиле включены уведомления, после успешного выполнения читателю отправляется e-mail со ссылкой на результат.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6 - Окно исполнения заказа на оцифровку" title="Окно исполнения заказа на оцифровку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exec-window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исполнения заказа на оцифровку</w:t>
      </w:r>
    </w:p>
    <w:p>
      <w:pPr>
        <w:pStyle w:val="BodyText"/>
      </w:pPr>
      <w:r>
        <w:t xml:space="preserve">Кнопка просмотра читателя открывает окно «Полное описание читателя». В нем показывается запись читателя, оформившего заявку ЭДД.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7 - Окно «Полное описание читателя» формы «ЭДД»" title="Окно «Полное описание читателя» формы «ЭДД»" id="29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rdr-ful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«Полное описание читателя» формы «ЭДД»</w:t>
      </w:r>
    </w:p>
    <w:p>
      <w:pPr>
        <w:pStyle w:val="BodyText"/>
      </w:pPr>
      <w:r>
        <w:t xml:space="preserve">Кнопка просмотра издания открывает окно «Полное описание издания». В нем показывается запись издания, по которому запрошена электронная доставка.</w:t>
      </w:r>
    </w:p>
    <w:p>
      <w:pPr>
        <w:pStyle w:val="CaptionedFigure"/>
      </w:pPr>
      <w:r>
        <w:drawing>
          <wp:inline>
            <wp:extent cx="5334000" cy="2963333"/>
            <wp:effectExtent b="0" l="0" r="0" t="0"/>
            <wp:docPr descr="Рисунок 8 - Окно «Полное описание издания» формы «ЭДД»" title="Окно «Полное описание издания» формы «ЭДД»" id="32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book-full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633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«Полное описание издания» формы «ЭДД»</w:t>
      </w:r>
    </w:p>
    <w:p>
      <w:pPr>
        <w:pStyle w:val="BodyText"/>
      </w:pPr>
      <w:r>
        <w:t xml:space="preserve">Кнопка «Примечание к заказу» открывает форму «Примечание к заказу». В форме можно просмотреть и изменить примечание к заявке ЭДД. После сохранения обновляется колонка «Примечание пользователя».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9 - Окно «Примечание к заказу» формы «ЭДД»" title="Окно «Примечание к заказу» формы «ЭДД»" id="35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note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9 - Окно «Примечание к заказу» формы «ЭДД»</w:t>
      </w:r>
    </w:p>
    <w:p>
      <w:pPr>
        <w:pStyle w:val="BodyText"/>
      </w:pPr>
      <w:r>
        <w:t xml:space="preserve">Кнопка «Отказать» открывает меню причин отказа из справочника</w:t>
      </w:r>
      <w:r>
        <w:t xml:space="preserve"> </w:t>
      </w:r>
      <w:r>
        <w:rPr>
          <w:rStyle w:val="VerbatimChar"/>
        </w:rPr>
        <w:t xml:space="preserve">otkaz.mnu</w:t>
      </w:r>
      <w:r>
        <w:t xml:space="preserve">. После выбора причины АРМ записывает отказ, дату отказа и ответственное лицо. Заявка переносится в историю отказов, при включенной рассылке читателю отправляется уведомление. Отдельное окно не открывается: операция выполняется сразу после выбора пункта меню.</w:t>
      </w:r>
    </w:p>
    <w:p>
      <w:pPr>
        <w:pStyle w:val="CaptionedFigure"/>
      </w:pPr>
      <w:r>
        <w:drawing>
          <wp:inline>
            <wp:extent cx="2454442" cy="2743200"/>
            <wp:effectExtent b="0" l="0" r="0" t="0"/>
            <wp:docPr descr="Рисунок 10 - Меню причин отказа формы «ЭДД»" title="Меню причин отказа формы «ЭДД»" id="38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decline-menu.png" id="39" name="Picture"/>
                    <pic:cNvPicPr>
                      <a:picLocks noChangeArrowheads="1"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442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10 - Меню причин отказа формы «ЭДД»</w:t>
      </w:r>
    </w:p>
    <w:p>
      <w:pPr>
        <w:pStyle w:val="BodyText"/>
      </w:pPr>
      <w:r>
        <w:t xml:space="preserve">Кнопка «Выполненные заказы» открывает окно истории выполненных заявок ЭДД. В списке отображаются читатель, издание, экземпляр, дата заказа, дата выполнения, база данных, место хранения и примечание.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1 - Окно «Выполненные заказы» формы «ЭДД»" title="Окно «Выполненные заказы» формы «ЭДД»" id="41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issued.pn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11 - Окно «Выполненные заказы» формы «ЭДД»</w:t>
      </w:r>
    </w:p>
    <w:p>
      <w:pPr>
        <w:pStyle w:val="BodyText"/>
      </w:pPr>
      <w:r>
        <w:t xml:space="preserve">Кнопка «Отказы» открывает окно истории отказов по ЭДД. В списке отображаются причина отказа, дата отказа, ответственное лицо и основные данные заявки.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12 - Окно «Отказы» формы «ЭДД»" title="Окно «Отказы» формы «ЭДД»" id="44" name="Picture"/>
            <a:graphic>
              <a:graphicData uri="http://schemas.openxmlformats.org/drawingml/2006/picture">
                <pic:pic>
                  <pic:nvPicPr>
                    <pic:cNvPr descr="modules/Bookland/Help/Interface/img/bookland-edd-history-deny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12 - Окно «Отказы» формы «ЭДД»</w:t>
      </w:r>
    </w:p>
    <w:bookmarkEnd w:id="46"/>
    <w:bookmarkEnd w:id="4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1" Target="media/rId31.png" /><Relationship Type="http://schemas.openxmlformats.org/officeDocument/2006/relationships/image" Id="rId37" Target="media/rId37.png" /><Relationship Type="http://schemas.openxmlformats.org/officeDocument/2006/relationships/image" Id="rId25" Target="media/rId25.png" /><Relationship Type="http://schemas.openxmlformats.org/officeDocument/2006/relationships/image" Id="rId43" Target="media/rId43.png" /><Relationship Type="http://schemas.openxmlformats.org/officeDocument/2006/relationships/image" Id="rId40" Target="media/rId40.png" /><Relationship Type="http://schemas.openxmlformats.org/officeDocument/2006/relationships/image" Id="rId15" Target="media/rId15.png" /><Relationship Type="http://schemas.openxmlformats.org/officeDocument/2006/relationships/image" Id="rId34" Target="media/rId34.png" /><Relationship Type="http://schemas.openxmlformats.org/officeDocument/2006/relationships/image" Id="rId28" Target="media/rId28.png" /><Relationship Type="http://schemas.openxmlformats.org/officeDocument/2006/relationships/image" Id="rId12" Target="media/rId12.png" /><Relationship Type="http://schemas.openxmlformats.org/officeDocument/2006/relationships/image" Id="rId22" Target="media/rId22.png" /><Relationship Type="http://schemas.openxmlformats.org/officeDocument/2006/relationships/image" Id="rId9" Target="media/rId9.png" /><Relationship Type="http://schemas.openxmlformats.org/officeDocument/2006/relationships/image" Id="rId19" Target="media/rId19.png" /><Relationship Type="http://schemas.openxmlformats.org/officeDocument/2006/relationships/hyperlink" Id="rId18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«ЭДД»</dc:title>
  <dc:creator/>
  <cp:keywords/>
  <dcterms:created xsi:type="dcterms:W3CDTF">2026-11-08T13:23:45Z</dcterms:created>
  <dcterms:modified xsi:type="dcterms:W3CDTF">2026-11-08T13:23:45Z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