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Поставщики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ставщики-ai"/>
    <w:p>
      <w:pPr>
        <w:pStyle w:val="Heading1"/>
      </w:pPr>
      <w:r>
        <w:t xml:space="preserve">Поставщики AI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хранит безопасный реестр поставщиков AI: stable key, тип provider-а, признаки локальной/внешней/offline обработки, endpoint metadata, режим авторизации, ссылку на секрет и readiness-состояние.</w:t>
      </w:r>
    </w:p>
    <w:p>
      <w:pPr>
        <w:pStyle w:val="BodyText"/>
      </w:pPr>
      <w:r>
        <w:t xml:space="preserve">Секреты в записи поставщика не хранятся. В записи указывается только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, а фактическое хранение, ротация и доступность секрета принадлежат модулю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AIProvider</w:t>
      </w:r>
      <w:r>
        <w:t xml:space="preserve"> </w:t>
      </w:r>
      <w:r>
        <w:t xml:space="preserve">не вызывает модель и не выполняет AI-операции. Его задача - дать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безопасные данные для explainable routing, HealthCheck, TestA и административной диагностики.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Поставщики AI</dc:title>
  <dc:creator/>
  <cp:keywords/>
  <dcterms:created xsi:type="dcterms:W3CDTF">2026-11-06T09:00:38Z</dcterms:created>
  <dcterms:modified xsi:type="dcterms:W3CDTF">2026-11-06T09:00:38Z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