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POLZV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olzv"/>
    <w:p>
      <w:pPr>
        <w:pStyle w:val="Heading1"/>
      </w:pPr>
      <w:r>
        <w:t xml:space="preserve">Назначение POLZV</w:t>
      </w:r>
    </w:p>
    <w:p>
      <w:pPr>
        <w:pStyle w:val="FirstParagraph"/>
      </w:pPr>
      <w:r>
        <w:rPr>
          <w:rStyle w:val="VerbatimChar"/>
        </w:rPr>
        <w:t xml:space="preserve">POLZV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 Он предназначен для хранения данных пользователя в контуре комплектования.</w:t>
      </w:r>
    </w:p>
    <w:p>
      <w:pPr>
        <w:pStyle w:val="BodyText"/>
      </w:pPr>
      <w:r>
        <w:t xml:space="preserve">Структура редактора задается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, а отображение записи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POLZV</dc:title>
  <dc:creator/>
  <cp:keywords/>
  <dcterms:created xsi:type="dcterms:W3CDTF">2026-11-02T20:14:23Z</dcterms:created>
  <dcterms:modified xsi:type="dcterms:W3CDTF">2026-11-02T20:14:23Z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