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[I128-1627]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14c73cbba9a92f533fe5f3645e02e669d9587"/>
    <w:p>
      <w:pPr>
        <w:pStyle w:val="Heading1"/>
      </w:pPr>
      <w:r>
        <w:t xml:space="preserve">[I128-1627]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прозрачная авторизация из внешних систем: настройка ключей, параметры подписанной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способ входа через подписанную внешнюю ссылку.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 удалялись.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добавлено описание прозрачной авторизации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Документация объясняет, какие ключи задаются в настройках, какие параметры должна передавать внешняя система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параметры серверной проверки и не связан с новой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8"/>
    <w:p>
      <w:pPr>
        <w:pStyle w:val="Heading3"/>
      </w:pPr>
      <w:r>
        <w:t xml:space="preserve">1.1. 🔗 Соответствует задача: I128-1618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[I128-1618]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[I128-1627] Возможность прозрачной авторизации в ИРБИС 128</dc:title>
  <dc:creator/>
  <cp:keywords/>
  <dcterms:created xsi:type="dcterms:W3CDTF">2026-11-02T12:03:30Z</dcterms:created>
  <dcterms:modified xsi:type="dcterms:W3CDTF">2026-11-02T12:03:30Z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