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Статистические формы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9" w:name="статистические-формы"/>
    <w:p>
      <w:pPr>
        <w:pStyle w:val="Heading1"/>
      </w:pPr>
      <w:r>
        <w:t xml:space="preserve">Статистические формы</w:t>
      </w:r>
    </w:p>
    <w:p>
      <w:pPr>
        <w:pStyle w:val="FirstParagraph"/>
      </w:pPr>
      <w:r>
        <w:t xml:space="preserve">Статистическая форма строит двумерную таблицу распределения записей базы данных по двум признакам: строкам и столбцам. Признаки вычисляются форматами ИРБИС, а набор допустимых значений берётся из справочников</w:t>
      </w:r>
      <w:r>
        <w:t xml:space="preserve"> </w:t>
      </w:r>
      <w:r>
        <w:rPr>
          <w:rStyle w:val="VerbatimChar"/>
        </w:rPr>
        <w:t xml:space="preserve">MNU</w:t>
      </w:r>
      <w:r>
        <w:t xml:space="preserve">.</w:t>
      </w:r>
    </w:p>
    <w:p>
      <w:pPr>
        <w:pStyle w:val="BodyText"/>
      </w:pPr>
      <w:r>
        <w:t xml:space="preserve">В текущей веб-реализации результат формируется действием</w:t>
      </w:r>
      <w:r>
        <w:t xml:space="preserve"> </w:t>
      </w:r>
      <w:r>
        <w:rPr>
          <w:rStyle w:val="VerbatimChar"/>
        </w:rPr>
        <w:t xml:space="preserve">TabForms/BuildSTF</w:t>
      </w:r>
      <w:r>
        <w:t xml:space="preserve"> </w:t>
      </w:r>
      <w:r>
        <w:t xml:space="preserve">как HTML-файл</w:t>
      </w:r>
      <w:r>
        <w:t xml:space="preserve"> </w:t>
      </w:r>
      <w:r>
        <w:rPr>
          <w:rStyle w:val="VerbatimChar"/>
        </w:rPr>
        <w:t xml:space="preserve">StatFormResult.html</w:t>
      </w:r>
      <w:r>
        <w:t xml:space="preserve">. Старый механизм Excel-шаблонов из классических</w:t>
      </w:r>
      <w:r>
        <w:t xml:space="preserve"> </w:t>
      </w:r>
      <w:r>
        <w:rPr>
          <w:rStyle w:val="VerbatimChar"/>
        </w:rPr>
        <w:t xml:space="preserve">.STF</w:t>
      </w:r>
      <w:r>
        <w:t xml:space="preserve">-описаний в этом действии не используется.</w:t>
      </w:r>
    </w:p>
    <w:p>
      <w:pPr>
        <w:pStyle w:val="BodyText"/>
      </w:pPr>
      <w:r>
        <w:t xml:space="preserve">После завершения построения пользователь получает ссылку на временный файл результата. Скачивание и автоматическое закрытие окна выполнения операции описаны в разделе</w:t>
      </w:r>
      <w:r>
        <w:t xml:space="preserve"> </w:t>
      </w:r>
      <w:hyperlink r:id="rId9">
        <w:r>
          <w:rPr>
            <w:rStyle w:val="Hyperlink"/>
          </w:rPr>
          <w:t xml:space="preserve">Получение файла результата</w:t>
        </w:r>
      </w:hyperlink>
      <w:r>
        <w:t xml:space="preserve">.</w:t>
      </w:r>
    </w:p>
    <w:bookmarkStart w:id="10" w:name="когда-использовать"/>
    <w:p>
      <w:pPr>
        <w:pStyle w:val="Heading2"/>
      </w:pPr>
      <w:r>
        <w:t xml:space="preserve">1. Когда использовать</w:t>
      </w:r>
    </w:p>
    <w:p>
      <w:pPr>
        <w:pStyle w:val="FirstParagraph"/>
      </w:pPr>
      <w:r>
        <w:t xml:space="preserve">Используйте статистические формы, когда нужно посчитать количество записей по пересечению двух классификационных признаков, например по виду документа и разделу знаний.</w:t>
      </w:r>
    </w:p>
    <w:p>
      <w:pPr>
        <w:pStyle w:val="BodyText"/>
      </w:pPr>
      <w:r>
        <w:t xml:space="preserve">Форма может строиться:</w:t>
      </w:r>
    </w:p>
    <w:p>
      <w:pPr>
        <w:pStyle w:val="Compact"/>
        <w:numPr>
          <w:ilvl w:val="0"/>
          <w:numId w:val="1001"/>
        </w:numPr>
      </w:pPr>
      <w:r>
        <w:t xml:space="preserve">по всем записям, найденным текущим поиском;</w:t>
      </w:r>
    </w:p>
    <w:p>
      <w:pPr>
        <w:pStyle w:val="Compact"/>
        <w:numPr>
          <w:ilvl w:val="0"/>
          <w:numId w:val="1001"/>
        </w:numPr>
      </w:pPr>
      <w:r>
        <w:t xml:space="preserve">по отмеченным записям на текущей странице;</w:t>
      </w:r>
    </w:p>
    <w:p>
      <w:pPr>
        <w:pStyle w:val="Compact"/>
        <w:numPr>
          <w:ilvl w:val="0"/>
          <w:numId w:val="1001"/>
        </w:numPr>
      </w:pPr>
      <w:r>
        <w:t xml:space="preserve">по поисковому выражению и последовательному поиску, переданным из списка записей.</w:t>
      </w:r>
    </w:p>
    <w:bookmarkEnd w:id="10"/>
    <w:bookmarkStart w:id="11" w:name="доступность-в-интерфейсе"/>
    <w:p>
      <w:pPr>
        <w:pStyle w:val="Heading2"/>
      </w:pPr>
      <w:r>
        <w:t xml:space="preserve">2. Доступность в интерфейсе</w:t>
      </w:r>
    </w:p>
    <w:p>
      <w:pPr>
        <w:pStyle w:val="FirstParagraph"/>
      </w:pPr>
      <w:r>
        <w:t xml:space="preserve">Кнопка</w:t>
      </w:r>
      <w:r>
        <w:t xml:space="preserve"> </w:t>
      </w:r>
      <w:r>
        <w:rPr>
          <w:b/>
          <w:bCs/>
        </w:rPr>
        <w:t xml:space="preserve">Статистические формы</w:t>
      </w:r>
      <w:r>
        <w:t xml:space="preserve"> </w:t>
      </w:r>
      <w:r>
        <w:t xml:space="preserve">добавляется в панель списка записей компонентом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. Для АРМ «Каталогизатор» доступность связана с правом</w:t>
      </w:r>
      <w:r>
        <w:t xml:space="preserve"> </w:t>
      </w:r>
      <w:r>
        <w:rPr>
          <w:rStyle w:val="VerbatimChar"/>
        </w:rPr>
        <w:t xml:space="preserve">ALLOWSTATFORMS</w:t>
      </w:r>
      <w:r>
        <w:t xml:space="preserve"> </w:t>
      </w:r>
      <w:r>
        <w:t xml:space="preserve">и параметром показа статистических форм в профиле.</w:t>
      </w:r>
    </w:p>
    <w:p>
      <w:pPr>
        <w:pStyle w:val="BodyText"/>
      </w:pPr>
      <w:r>
        <w:t xml:space="preserve">По умолчанию список форм берётся из справочника</w:t>
      </w:r>
      <w:r>
        <w:t xml:space="preserve"> </w:t>
      </w:r>
      <w:r>
        <w:rPr>
          <w:rStyle w:val="VerbatimChar"/>
        </w:rPr>
        <w:t xml:space="preserve">stf.mnu</w:t>
      </w:r>
      <w:r>
        <w:t xml:space="preserve">. В компоненте списка имя справочника может быть переопределено параметром</w:t>
      </w:r>
      <w:r>
        <w:t xml:space="preserve"> </w:t>
      </w:r>
      <w:r>
        <w:rPr>
          <w:rStyle w:val="VerbatimChar"/>
        </w:rPr>
        <w:t xml:space="preserve">stfMnu</w:t>
      </w:r>
      <w:r>
        <w:t xml:space="preserve">.</w:t>
      </w:r>
    </w:p>
    <w:bookmarkEnd w:id="11"/>
    <w:bookmarkStart w:id="12" w:name="файлы-формы"/>
    <w:p>
      <w:pPr>
        <w:pStyle w:val="Heading2"/>
      </w:pPr>
      <w:r>
        <w:t xml:space="preserve">3. Файлы формы</w:t>
      </w:r>
    </w:p>
    <w:p>
      <w:pPr>
        <w:pStyle w:val="FirstParagraph"/>
      </w:pPr>
      <w:r>
        <w:t xml:space="preserve">Описание формы находится в файле</w:t>
      </w:r>
      <w:r>
        <w:t xml:space="preserve"> </w:t>
      </w:r>
      <w:r>
        <w:rPr>
          <w:rStyle w:val="VerbatimChar"/>
        </w:rPr>
        <w:t xml:space="preserve">&lt;имя&gt;.stf</w:t>
      </w:r>
      <w:r>
        <w:t xml:space="preserve"> </w:t>
      </w:r>
      <w:r>
        <w:t xml:space="preserve">в каталоге соответствующей базы данных. Имя формы должно присутствовать в справочнике</w:t>
      </w:r>
      <w:r>
        <w:t xml:space="preserve"> </w:t>
      </w:r>
      <w:r>
        <w:rPr>
          <w:rStyle w:val="VerbatimChar"/>
        </w:rPr>
        <w:t xml:space="preserve">stf.mnu</w:t>
      </w:r>
      <w:r>
        <w:t xml:space="preserve"> </w:t>
      </w:r>
      <w:r>
        <w:t xml:space="preserve">или другом справочнике, который передан в интерфейс как список статистических форм.</w:t>
      </w:r>
    </w:p>
    <w:p>
      <w:pPr>
        <w:pStyle w:val="BodyText"/>
      </w:pPr>
      <w:r>
        <w:t xml:space="preserve">Связанные файлы также должны быть доступны в каталоге базы данных:</w:t>
      </w:r>
    </w:p>
    <w:p>
      <w:pPr>
        <w:pStyle w:val="Compact"/>
        <w:numPr>
          <w:ilvl w:val="0"/>
          <w:numId w:val="1002"/>
        </w:numPr>
      </w:pPr>
      <w:r>
        <w:t xml:space="preserve">справочник строк, например</w:t>
      </w:r>
      <w:r>
        <w:t xml:space="preserve"> </w:t>
      </w:r>
      <w:r>
        <w:rPr>
          <w:rStyle w:val="VerbatimChar"/>
        </w:rPr>
        <w:t xml:space="preserve">vdu_sf.mnu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справочник столбцов, например</w:t>
      </w:r>
      <w:r>
        <w:t xml:space="preserve"> </w:t>
      </w:r>
      <w:r>
        <w:rPr>
          <w:rStyle w:val="VerbatimChar"/>
        </w:rPr>
        <w:t xml:space="preserve">rzn3_sf.mnu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рабочий лист ограничений</w:t>
      </w:r>
      <w:r>
        <w:t xml:space="preserve"> </w:t>
      </w:r>
      <w:r>
        <w:rPr>
          <w:rStyle w:val="VerbatimChar"/>
        </w:rPr>
        <w:t xml:space="preserve">WSS</w:t>
      </w:r>
      <w:r>
        <w:t xml:space="preserve">, если форма требует параметров;</w:t>
      </w:r>
    </w:p>
    <w:p>
      <w:pPr>
        <w:pStyle w:val="Compact"/>
        <w:numPr>
          <w:ilvl w:val="0"/>
          <w:numId w:val="1002"/>
        </w:numPr>
      </w:pPr>
      <w:r>
        <w:t xml:space="preserve">форматы, указанные непосредственно в</w:t>
      </w:r>
      <w:r>
        <w:t xml:space="preserve"> </w:t>
      </w:r>
      <w:r>
        <w:rPr>
          <w:rStyle w:val="VerbatimChar"/>
        </w:rPr>
        <w:t xml:space="preserve">.stf</w:t>
      </w:r>
      <w:r>
        <w:t xml:space="preserve">.</w:t>
      </w:r>
    </w:p>
    <w:bookmarkEnd w:id="12"/>
    <w:bookmarkStart w:id="13" w:name="формат-.stf"/>
    <w:p>
      <w:pPr>
        <w:pStyle w:val="Heading2"/>
      </w:pPr>
      <w:r>
        <w:t xml:space="preserve">4. Формат</w:t>
      </w:r>
      <w:r>
        <w:t xml:space="preserve"> </w:t>
      </w:r>
      <w:r>
        <w:rPr>
          <w:rStyle w:val="VerbatimChar"/>
        </w:rPr>
        <w:t xml:space="preserve">.STF</w:t>
      </w:r>
    </w:p>
    <w:p>
      <w:pPr>
        <w:pStyle w:val="FirstParagraph"/>
      </w:pPr>
      <w:r>
        <w:t xml:space="preserve">Текущий загрузчик</w:t>
      </w:r>
      <w:r>
        <w:t xml:space="preserve"> </w:t>
      </w:r>
      <w:r>
        <w:rPr>
          <w:rStyle w:val="VerbatimChar"/>
        </w:rPr>
        <w:t xml:space="preserve">TabForms/LoadSTF</w:t>
      </w:r>
      <w:r>
        <w:t xml:space="preserve"> </w:t>
      </w:r>
      <w:r>
        <w:t xml:space="preserve">читает файл построчно. Нумерация ниже дана как в текстовом файле.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Использование в текущем</w:t>
            </w:r>
            <w:r>
              <w:t xml:space="preserve"> </w:t>
            </w:r>
            <w:r>
              <w:rPr>
                <w:rStyle w:val="VerbatimChar"/>
              </w:rPr>
              <w:t xml:space="preserve">TabForms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Имя Excel-шаблона без расширения</w:t>
            </w:r>
          </w:p>
        </w:tc>
        <w:tc>
          <w:tcPr/>
          <w:p>
            <w:pPr>
              <w:pStyle w:val="Compact"/>
            </w:pPr>
            <w:r>
              <w:t xml:space="preserve">Сохраняется для совместимости старых описаний, в HTML-генерации не используется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Формат для вычисления ключа строки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StrFormat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Справочник строк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StrMnu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Формат для вычисления ключа столбца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StbFormat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Справочник столбцов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StbMnu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Координаты верхней левой ячейки переменной части Excel-шаблона</w:t>
            </w:r>
          </w:p>
        </w:tc>
        <w:tc>
          <w:tcPr/>
          <w:p>
            <w:pPr>
              <w:pStyle w:val="Compact"/>
            </w:pPr>
            <w:r>
              <w:t xml:space="preserve">В HTML-генерации не используется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WSS</w:t>
            </w:r>
            <w:r>
              <w:t xml:space="preserve"> </w:t>
            </w:r>
            <w:r>
              <w:t xml:space="preserve">и метка модельного поля через запятую</w:t>
            </w:r>
          </w:p>
        </w:tc>
        <w:tc>
          <w:tcPr/>
          <w:p>
            <w:pPr>
              <w:pStyle w:val="Compact"/>
            </w:pPr>
            <w:r>
              <w:t xml:space="preserve">Используется для формы ввода ограничений и передачи параметров в форматы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Формат переменного заголовка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заголовок HTML-результата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Координаты ячейки переменного заголовка</w:t>
            </w:r>
          </w:p>
        </w:tc>
        <w:tc>
          <w:tcPr/>
          <w:p>
            <w:pPr>
              <w:pStyle w:val="Compact"/>
            </w:pPr>
            <w:r>
              <w:t xml:space="preserve">В HTML-генерации не используется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Формат заголовка группы строк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заголовок первого измерения, если задан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Формат заголовка группы столбцов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заголовок второго измерения, если задан</w:t>
            </w:r>
          </w:p>
        </w:tc>
      </w:tr>
    </w:tbl>
    <w:p>
      <w:pPr>
        <w:pStyle w:val="BodyText"/>
      </w:pPr>
      <w:r>
        <w:t xml:space="preserve">Строки 10 и 11 являются расширением текущей веб-реализации. В старых инструкциях они могут отсутствовать; тогда заголовки измерений не формируются.</w:t>
      </w:r>
    </w:p>
    <w:bookmarkEnd w:id="13"/>
    <w:bookmarkStart w:id="14" w:name="справочники-строк-и-столбцов"/>
    <w:p>
      <w:pPr>
        <w:pStyle w:val="Heading2"/>
      </w:pPr>
      <w:r>
        <w:t xml:space="preserve">5. Справочники строк и столбцов</w:t>
      </w:r>
    </w:p>
    <w:p>
      <w:pPr>
        <w:pStyle w:val="FirstParagraph"/>
      </w:pPr>
      <w:r>
        <w:t xml:space="preserve">Справочники задают допустимые ключи строк и столбцов. Результат форматирования приводится к нижнему регистру и сопоставляется с ключами справочника.</w:t>
      </w:r>
    </w:p>
    <w:p>
      <w:pPr>
        <w:pStyle w:val="BodyText"/>
      </w:pPr>
      <w:r>
        <w:t xml:space="preserve">Если формат вернул значение, которого нет в справочнике, код подставляет ключ</w:t>
      </w:r>
      <w:r>
        <w:t xml:space="preserve"> </w:t>
      </w:r>
      <w:r>
        <w:rPr>
          <w:rStyle w:val="VerbatimChar"/>
        </w:rPr>
        <w:t xml:space="preserve">*</w:t>
      </w:r>
      <w:r>
        <w:t xml:space="preserve">. Поэтому для формы с группой «Прочие» добавляйте в справочник строку</w:t>
      </w:r>
      <w:r>
        <w:t xml:space="preserve"> </w:t>
      </w:r>
      <w:r>
        <w:rPr>
          <w:rStyle w:val="VerbatimChar"/>
        </w:rPr>
        <w:t xml:space="preserve">*</w:t>
      </w:r>
      <w:r>
        <w:t xml:space="preserve">. Если ключа</w:t>
      </w:r>
      <w:r>
        <w:t xml:space="preserve"> </w:t>
      </w:r>
      <w:r>
        <w:rPr>
          <w:rStyle w:val="VerbatimChar"/>
        </w:rPr>
        <w:t xml:space="preserve">*</w:t>
      </w:r>
      <w:r>
        <w:t xml:space="preserve"> </w:t>
      </w:r>
      <w:r>
        <w:t xml:space="preserve">нет, такие значения не попадут в итоговую матрицу.</w:t>
      </w:r>
    </w:p>
    <w:p>
      <w:pPr>
        <w:pStyle w:val="BodyText"/>
      </w:pPr>
      <w:r>
        <w:t xml:space="preserve">Количество строк и столбцов результата определяется справочниками, а не Excel-шаблоном.</w:t>
      </w:r>
    </w:p>
    <w:bookmarkEnd w:id="14"/>
    <w:bookmarkStart w:id="15" w:name="модельное-поле-и-ограничения"/>
    <w:p>
      <w:pPr>
        <w:pStyle w:val="Heading2"/>
      </w:pPr>
      <w:r>
        <w:t xml:space="preserve">6. Модельное поле и ограничения</w:t>
      </w:r>
    </w:p>
    <w:p>
      <w:pPr>
        <w:pStyle w:val="FirstParagraph"/>
      </w:pPr>
      <w:r>
        <w:t xml:space="preserve">Если в строке 7 указан</w:t>
      </w:r>
      <w:r>
        <w:t xml:space="preserve"> </w:t>
      </w:r>
      <w:r>
        <w:rPr>
          <w:rStyle w:val="VerbatimChar"/>
        </w:rPr>
        <w:t xml:space="preserve">WSS</w:t>
      </w:r>
      <w:r>
        <w:t xml:space="preserve">, интерфейс показывает пользователю форму ввода параметров. Введённые значения передаются в модельное поле с указанной меткой.</w:t>
      </w:r>
    </w:p>
    <w:p>
      <w:pPr>
        <w:pStyle w:val="BodyText"/>
      </w:pPr>
      <w:r>
        <w:t xml:space="preserve">Например, строка:</w:t>
      </w:r>
    </w:p>
    <w:p>
      <w:pPr>
        <w:pStyle w:val="SourceCode"/>
      </w:pPr>
      <w:r>
        <w:rPr>
          <w:rStyle w:val="VerbatimChar"/>
        </w:rPr>
        <w:t xml:space="preserve">999.wss,1000</w:t>
      </w:r>
    </w:p>
    <w:p>
      <w:pPr>
        <w:pStyle w:val="FirstParagraph"/>
      </w:pPr>
      <w:r>
        <w:t xml:space="preserve">означает, что параметры вводятся по рабочему листу</w:t>
      </w:r>
      <w:r>
        <w:t xml:space="preserve"> </w:t>
      </w:r>
      <w:r>
        <w:rPr>
          <w:rStyle w:val="VerbatimChar"/>
        </w:rPr>
        <w:t xml:space="preserve">999.wss</w:t>
      </w:r>
      <w:r>
        <w:t xml:space="preserve">, а в форматах формы доступны как поле</w:t>
      </w:r>
      <w:r>
        <w:t xml:space="preserve"> </w:t>
      </w:r>
      <w:r>
        <w:rPr>
          <w:rStyle w:val="VerbatimChar"/>
        </w:rPr>
        <w:t xml:space="preserve">1000</w:t>
      </w:r>
      <w:r>
        <w:t xml:space="preserve">.</w:t>
      </w:r>
    </w:p>
    <w:bookmarkEnd w:id="15"/>
    <w:bookmarkStart w:id="16" w:name="пример-фрагмента-.stf"/>
    <w:p>
      <w:pPr>
        <w:pStyle w:val="Heading2"/>
      </w:pPr>
      <w:r>
        <w:t xml:space="preserve">7. Пример фрагмента</w:t>
      </w:r>
      <w:r>
        <w:t xml:space="preserve"> </w:t>
      </w:r>
      <w:r>
        <w:rPr>
          <w:rStyle w:val="VerbatimChar"/>
        </w:rPr>
        <w:t xml:space="preserve">.STF</w:t>
      </w:r>
    </w:p>
    <w:p>
      <w:pPr>
        <w:pStyle w:val="SourceCode"/>
      </w:pPr>
      <w:r>
        <w:rPr>
          <w:rStyle w:val="VerbatimChar"/>
        </w:rPr>
        <w:t xml:space="preserve">Form3</w:t>
      </w:r>
      <w:r>
        <w:br/>
      </w:r>
      <w:r>
        <w:rPr>
          <w:rStyle w:val="VerbatimChar"/>
        </w:rPr>
        <w:t xml:space="preserve">if (&amp;uf('AV907^A#1')&gt;=v1000^A) and (&amp;uf('AV907^A#1')&lt;=v1000^B) then (v900^B/) fi</w:t>
      </w:r>
      <w:r>
        <w:br/>
      </w:r>
      <w:r>
        <w:rPr>
          <w:rStyle w:val="VerbatimChar"/>
        </w:rPr>
        <w:t xml:space="preserve">vdu_SF.mnu</w:t>
      </w:r>
      <w:r>
        <w:br/>
      </w:r>
      <w:r>
        <w:rPr>
          <w:rStyle w:val="VerbatimChar"/>
        </w:rPr>
        <w:t xml:space="preserve">if (&amp;uf('AV907^A#1')&gt;=v1000^A) and (&amp;uf('AV907^A#1')&lt;=v1000^B) then (v60/) fi</w:t>
      </w:r>
      <w:r>
        <w:br/>
      </w:r>
      <w:r>
        <w:rPr>
          <w:rStyle w:val="VerbatimChar"/>
        </w:rPr>
        <w:t xml:space="preserve">rzn3_SF.mnu</w:t>
      </w:r>
      <w:r>
        <w:br/>
      </w:r>
      <w:r>
        <w:rPr>
          <w:rStyle w:val="VerbatimChar"/>
        </w:rPr>
        <w:t xml:space="preserve">4,7</w:t>
      </w:r>
      <w:r>
        <w:br/>
      </w:r>
      <w:r>
        <w:rPr>
          <w:rStyle w:val="VerbatimChar"/>
        </w:rPr>
        <w:t xml:space="preserve">999.wss,1000</w:t>
      </w:r>
      <w:r>
        <w:br/>
      </w:r>
      <w:r>
        <w:rPr>
          <w:rStyle w:val="VerbatimChar"/>
        </w:rPr>
        <w:t xml:space="preserve">'Виды документов по разделам знаний, введенные за период с ',v1000^A*6.2".",v1000^A*4.2".",v1000^A.4,' по ',v1000^B*6.2".",v1000^B*4.2".",v1000^B.4</w:t>
      </w:r>
      <w:r>
        <w:br/>
      </w:r>
      <w:r>
        <w:rPr>
          <w:rStyle w:val="VerbatimChar"/>
        </w:rPr>
        <w:t xml:space="preserve">1,1</w:t>
      </w:r>
    </w:p>
    <w:p>
      <w:pPr>
        <w:pStyle w:val="FirstParagraph"/>
      </w:pPr>
      <w:r>
        <w:t xml:space="preserve">В этом примере форма распределяет записи по виду документа из</w:t>
      </w:r>
      <w:r>
        <w:t xml:space="preserve"> </w:t>
      </w:r>
      <w:r>
        <w:rPr>
          <w:rStyle w:val="VerbatimChar"/>
        </w:rPr>
        <w:t xml:space="preserve">v900^B</w:t>
      </w:r>
      <w:r>
        <w:t xml:space="preserve"> </w:t>
      </w:r>
      <w:r>
        <w:t xml:space="preserve">и разделу знаний из</w:t>
      </w:r>
      <w:r>
        <w:t xml:space="preserve"> </w:t>
      </w:r>
      <w:r>
        <w:rPr>
          <w:rStyle w:val="VerbatimChar"/>
        </w:rPr>
        <w:t xml:space="preserve">v60</w:t>
      </w:r>
      <w:r>
        <w:t xml:space="preserve">, но учитывает только записи, дата ввода которых попадает в период из модельного поля</w:t>
      </w:r>
      <w:r>
        <w:t xml:space="preserve"> </w:t>
      </w:r>
      <w:r>
        <w:rPr>
          <w:rStyle w:val="VerbatimChar"/>
        </w:rPr>
        <w:t xml:space="preserve">1000</w:t>
      </w:r>
      <w:r>
        <w:t xml:space="preserve">.</w:t>
      </w:r>
    </w:p>
    <w:bookmarkEnd w:id="16"/>
    <w:bookmarkStart w:id="17" w:name="как-строится-результат"/>
    <w:p>
      <w:pPr>
        <w:pStyle w:val="Heading2"/>
      </w:pPr>
      <w:r>
        <w:t xml:space="preserve">8. Как строится результат</w:t>
      </w:r>
    </w:p>
    <w:p>
      <w:pPr>
        <w:pStyle w:val="FirstParagraph"/>
      </w:pPr>
      <w:r>
        <w:t xml:space="preserve">Для каждой записи действие</w:t>
      </w:r>
      <w:r>
        <w:t xml:space="preserve"> </w:t>
      </w:r>
      <w:r>
        <w:rPr>
          <w:rStyle w:val="VerbatimChar"/>
        </w:rPr>
        <w:t xml:space="preserve">TabForms/BuildSTF</w:t>
      </w:r>
      <w:r>
        <w:t xml:space="preserve">:</w:t>
      </w:r>
    </w:p>
    <w:p>
      <w:pPr>
        <w:pStyle w:val="Compact"/>
        <w:numPr>
          <w:ilvl w:val="0"/>
          <w:numId w:val="1003"/>
        </w:numPr>
      </w:pPr>
      <w:r>
        <w:t xml:space="preserve">Заполняет модельное поле введёнными пользователем параметрами.</w:t>
      </w:r>
    </w:p>
    <w:p>
      <w:pPr>
        <w:pStyle w:val="Compact"/>
        <w:numPr>
          <w:ilvl w:val="0"/>
          <w:numId w:val="1003"/>
        </w:numPr>
      </w:pPr>
      <w:r>
        <w:t xml:space="preserve">Выполняет формат строки и формат столбца.</w:t>
      </w:r>
    </w:p>
    <w:p>
      <w:pPr>
        <w:pStyle w:val="Compact"/>
        <w:numPr>
          <w:ilvl w:val="0"/>
          <w:numId w:val="1003"/>
        </w:numPr>
      </w:pPr>
      <w:r>
        <w:t xml:space="preserve">Разбивает многострочные результаты форматирования на отдельные значения.</w:t>
      </w:r>
    </w:p>
    <w:p>
      <w:pPr>
        <w:pStyle w:val="Compact"/>
        <w:numPr>
          <w:ilvl w:val="0"/>
          <w:numId w:val="1003"/>
        </w:numPr>
      </w:pPr>
      <w:r>
        <w:t xml:space="preserve">Сопоставляет значения со справочниками строк и столбцов.</w:t>
      </w:r>
    </w:p>
    <w:p>
      <w:pPr>
        <w:pStyle w:val="Compact"/>
        <w:numPr>
          <w:ilvl w:val="0"/>
          <w:numId w:val="1003"/>
        </w:numPr>
      </w:pPr>
      <w:r>
        <w:t xml:space="preserve">Увеличивает счётчик в ячейке матрицы.</w:t>
      </w:r>
    </w:p>
    <w:p>
      <w:pPr>
        <w:pStyle w:val="Compact"/>
        <w:numPr>
          <w:ilvl w:val="0"/>
          <w:numId w:val="1003"/>
        </w:numPr>
      </w:pPr>
      <w:r>
        <w:t xml:space="preserve">Добавляет итоговые суммы по строкам, столбцам и всей таблице.</w:t>
      </w:r>
    </w:p>
    <w:p>
      <w:pPr>
        <w:pStyle w:val="FirstParagraph"/>
      </w:pPr>
      <w:r>
        <w:t xml:space="preserve">Если один формат возвращает одно значение, а другой несколько значений, одиночное значение применяется ко всем значениям второго измерения.</w:t>
      </w:r>
    </w:p>
    <w:bookmarkEnd w:id="17"/>
    <w:bookmarkStart w:id="18" w:name="не-путать-со-statforms"/>
    <w:p>
      <w:pPr>
        <w:pStyle w:val="Heading2"/>
      </w:pPr>
      <w:r>
        <w:t xml:space="preserve">9. Не путать со</w:t>
      </w:r>
      <w:r>
        <w:t xml:space="preserve"> </w:t>
      </w:r>
      <w:r>
        <w:rPr>
          <w:rStyle w:val="VerbatimChar"/>
        </w:rPr>
        <w:t xml:space="preserve">StatForms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StatForms</w:t>
      </w:r>
      <w:r>
        <w:t xml:space="preserve"> </w:t>
      </w:r>
      <w:r>
        <w:t xml:space="preserve">хранит PHP-описания</w:t>
      </w:r>
      <w:r>
        <w:t xml:space="preserve"> </w:t>
      </w:r>
      <w:r>
        <w:rPr>
          <w:rStyle w:val="VerbatimChar"/>
        </w:rPr>
        <w:t xml:space="preserve">*.stt128</w:t>
      </w:r>
      <w:r>
        <w:t xml:space="preserve"> </w:t>
      </w:r>
      <w:r>
        <w:t xml:space="preserve">для другого механизма статистических таблиц. Файлы</w:t>
      </w:r>
      <w:r>
        <w:t xml:space="preserve"> </w:t>
      </w:r>
      <w:r>
        <w:rPr>
          <w:rStyle w:val="VerbatimChar"/>
        </w:rPr>
        <w:t xml:space="preserve">.STF</w:t>
      </w:r>
      <w:r>
        <w:t xml:space="preserve">, описанные на этой странице, обрабатываются модулем</w:t>
      </w:r>
      <w:r>
        <w:t xml:space="preserve"> </w:t>
      </w:r>
      <w:r>
        <w:rPr>
          <w:rStyle w:val="VerbatimChar"/>
        </w:rPr>
        <w:t xml:space="preserve">TabForms</w:t>
      </w:r>
      <w:r>
        <w:t xml:space="preserve">.</w:t>
      </w:r>
    </w:p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TabForms/Help/ResultDownloa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TabForms/Help/ResultDownloa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Статистические формы</dc:title>
  <dc:creator/>
  <cp:keywords/>
  <dcterms:created xsi:type="dcterms:W3CDTF">2026-09-08T16:41:57Z</dcterms:created>
  <dcterms:modified xsi:type="dcterms:W3CDTF">2026-09-08T16:41:57Z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