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[I128-2156] Доступность модуля i128f через i128f::getInstance()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f8a6c70f6d3ca7fd4145c8d0dcfcdb558904650"/>
    <w:p>
      <w:pPr>
        <w:pStyle w:val="Heading1"/>
      </w:pPr>
      <w:r>
        <w:t xml:space="preserve">[I128-2156] Доступность модуля i128f через i128f::getInstance()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6"/>
    <w:p>
      <w:pPr>
        <w:pStyle w:val="Heading3"/>
      </w:pPr>
      <w:r>
        <w:t xml:space="preserve">1.1. 🔗 Соответствует задача: I128-2176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[I128-2176]</w:t>
        </w:r>
      </w:hyperlink>
      <w:r>
        <w:t xml:space="preserve"> </w:t>
      </w:r>
      <w:r>
        <w:t xml:space="preserve">Доступность модуля i128f через i128f::getInstance()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6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6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[I128-2156] Доступность модуля i128f через i128f::getInstance()</dc:title>
  <dc:creator/>
  <cp:keywords/>
  <dcterms:created xsi:type="dcterms:W3CDTF">2026-09-08T20:16:23Z</dcterms:created>
  <dcterms:modified xsi:type="dcterms:W3CDTF">2026-09-08T20:16:23Z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