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&amp;uf(’+7G… - Исключение неоригинальных повторений переменной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12e15ba317c57351f4ade6daa48357b958da6a9"/>
    <w:p>
      <w:pPr>
        <w:pStyle w:val="Heading1"/>
      </w:pPr>
      <w:r>
        <w:t xml:space="preserve">&amp;uf(’+7G… - Исключение неоригинальных повторений переменной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повторений переменной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+7GNNN</w:t>
      </w:r>
    </w:p>
    <w:p>
      <w:pPr>
        <w:pStyle w:val="FirstParagraph"/>
      </w:pPr>
      <w:r>
        <w:t xml:space="preserve">Результат исключения записывается в ту же переменную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&amp;uf(’+7G… - Исключение неоригинальных повторений переменной</dc:title>
  <dc:creator/>
  <cp:keywords/>
  <dcterms:created xsi:type="dcterms:W3CDTF">2026-09-07T07:23:08Z</dcterms:created>
  <dcterms:modified xsi:type="dcterms:W3CDTF">2026-09-07T07:23:08Z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