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RAVR(формат)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avrформат"/>
    <w:p>
      <w:pPr>
        <w:pStyle w:val="Heading1"/>
      </w:pPr>
      <w:r>
        <w:t xml:space="preserve">Функция RAVR(формат)</w:t>
      </w:r>
    </w:p>
    <w:p>
      <w:pPr>
        <w:pStyle w:val="FirstParagraph"/>
      </w:pPr>
      <w:r>
        <w:t xml:space="preserve">Функция RAVR возвращает среднее арифметическое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Вычисленное среднее значение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необходимо предусмотреть, чтобы такое разделение в формате присутствовало. Функция RAVR может использоваться для вычисления среднего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(v1|;|)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ravr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25.25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RAVR(формат)</dc:title>
  <dc:creator/>
  <cp:keywords/>
  <dcterms:created xsi:type="dcterms:W3CDTF">2026-09-07T06:12:14Z</dcterms:created>
  <dcterms:modified xsi:type="dcterms:W3CDTF">2026-09-07T06:12:14Z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