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файла .l01 (Словарь ИРБИС64 - Листовые узлы дерева поиска)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85dbf1b31b3e1808d65479c28ccd9ab9fa5821d"/>
    <w:p>
      <w:pPr>
        <w:pStyle w:val="Heading1"/>
      </w:pPr>
      <w:r>
        <w:t xml:space="preserve">Формат файла .l01 (Словарь ИРБИС64 - Листовые узлы дерева поиска)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.l01</w:t>
      </w:r>
      <w:r>
        <w:t xml:space="preserve"> </w:t>
      </w:r>
      <w:r>
        <w:t xml:space="preserve">является частью инвертированного файла (словаря) системы ИРБИС64. Он содержит листовые узлы (leaves) B-дерева. В отличие от индексного файла</w:t>
      </w:r>
      <w:r>
        <w:t xml:space="preserve"> </w:t>
      </w:r>
      <w:r>
        <w:rPr>
          <w:rStyle w:val="VerbatimChar"/>
        </w:rPr>
        <w:t xml:space="preserve">.n01</w:t>
      </w:r>
      <w:r>
        <w:t xml:space="preserve">, элементы которого перенаправляют поиск на подуровни дерева, записи в файле</w:t>
      </w:r>
      <w:r>
        <w:t xml:space="preserve"> </w:t>
      </w:r>
      <w:r>
        <w:rPr>
          <w:rStyle w:val="VerbatimChar"/>
        </w:rPr>
        <w:t xml:space="preserve">.l01</w:t>
      </w:r>
      <w:r>
        <w:t xml:space="preserve"> </w:t>
      </w:r>
      <w:r>
        <w:t xml:space="preserve">содержат сами термины словаря и указывают непосредственно на списки ссылок (постингов) в файле</w:t>
      </w:r>
      <w:r>
        <w:t xml:space="preserve"> </w:t>
      </w:r>
      <w:r>
        <w:rPr>
          <w:rStyle w:val="VerbatimChar"/>
        </w:rPr>
        <w:t xml:space="preserve">.ifp</w:t>
      </w:r>
      <w:r>
        <w:t xml:space="preserve">.</w:t>
      </w:r>
    </w:p>
    <w:bookmarkStart w:id="10" w:name="физическая-структура"/>
    <w:p>
      <w:pPr>
        <w:pStyle w:val="Heading2"/>
      </w:pPr>
      <w:r>
        <w:t xml:space="preserve">1. Физическая структура</w:t>
      </w:r>
    </w:p>
    <w:p>
      <w:pPr>
        <w:pStyle w:val="FirstParagraph"/>
      </w:pPr>
      <w:r>
        <w:t xml:space="preserve">Как и</w:t>
      </w:r>
      <w:r>
        <w:t xml:space="preserve"> </w:t>
      </w:r>
      <w:r>
        <w:rPr>
          <w:rStyle w:val="VerbatimChar"/>
        </w:rPr>
        <w:t xml:space="preserve">.n01</w:t>
      </w:r>
      <w:r>
        <w:t xml:space="preserve">, файл логически разбит на блоки фиксированного размера.</w:t>
      </w:r>
      <w:r>
        <w:t xml:space="preserve"> </w:t>
      </w:r>
      <w:r>
        <w:t xml:space="preserve">Размер одного блока (</w:t>
      </w:r>
      <w:r>
        <w:rPr>
          <w:rStyle w:val="VerbatimChar"/>
        </w:rPr>
        <w:t xml:space="preserve">SIZE_OF_TERMS_BLOCK</w:t>
      </w:r>
      <w:r>
        <w:t xml:space="preserve">) составляет</w:t>
      </w:r>
      <w:r>
        <w:t xml:space="preserve"> </w:t>
      </w:r>
      <w:r>
        <w:rPr>
          <w:b/>
          <w:bCs/>
        </w:rPr>
        <w:t xml:space="preserve">2048 байт</w:t>
      </w:r>
      <w:r>
        <w:t xml:space="preserve">.</w:t>
      </w:r>
    </w:p>
    <w:bookmarkStart w:id="9" w:name="порядок-байт-endianness"/>
    <w:p>
      <w:pPr>
        <w:pStyle w:val="Heading3"/>
      </w:pPr>
      <w:r>
        <w:t xml:space="preserve">1.1. Порядок байт (Endianness)</w:t>
      </w:r>
    </w:p>
    <w:p>
      <w:pPr>
        <w:pStyle w:val="FirstParagraph"/>
      </w:pPr>
      <w:r>
        <w:t xml:space="preserve">Все бинарные числовые значения в файле записываются на диск в формате</w:t>
      </w:r>
      <w:r>
        <w:t xml:space="preserve"> </w:t>
      </w:r>
      <w:r>
        <w:rPr>
          <w:b/>
          <w:bCs/>
        </w:rPr>
        <w:t xml:space="preserve">Big-Endian</w:t>
      </w:r>
      <w:r>
        <w:t xml:space="preserve"> </w:t>
      </w:r>
      <w:r>
        <w:t xml:space="preserve">(старший байт по меньшему адресу).</w:t>
      </w:r>
    </w:p>
    <w:bookmarkEnd w:id="9"/>
    <w:bookmarkEnd w:id="10"/>
    <w:bookmarkStart w:id="14" w:name="структура-отдельного-блока-node"/>
    <w:p>
      <w:pPr>
        <w:pStyle w:val="Heading2"/>
      </w:pPr>
      <w:r>
        <w:t xml:space="preserve">2. Структура отдельного блока (Node)</w:t>
      </w:r>
    </w:p>
    <w:p>
      <w:pPr>
        <w:pStyle w:val="FirstParagraph"/>
      </w:pPr>
      <w:r>
        <w:t xml:space="preserve">Внутренняя организация блока полностью идентична блокам</w:t>
      </w:r>
      <w:r>
        <w:t xml:space="preserve"> </w:t>
      </w:r>
      <w:r>
        <w:rPr>
          <w:rStyle w:val="VerbatimChar"/>
        </w:rPr>
        <w:t xml:space="preserve">.n01</w:t>
      </w:r>
      <w:r>
        <w:t xml:space="preserve">:</w:t>
      </w:r>
    </w:p>
    <w:p>
      <w:pPr>
        <w:pStyle w:val="BodyText"/>
      </w:pPr>
      <w:r>
        <w:rPr>
          <w:rStyle w:val="VerbatimChar"/>
        </w:rPr>
        <w:t xml:space="preserve">[Заголовок блока] [Массив указателей на ключи] ... [Свободное пространство] ... [Сами ключи (термины)]</w:t>
      </w:r>
    </w:p>
    <w:p>
      <w:pPr>
        <w:pStyle w:val="BodyText"/>
      </w:pPr>
      <w:r>
        <w:t xml:space="preserve">Ключи добавляются с конца блока (навстречу заголовкам), а массив заголовков ключей растет от начала.</w:t>
      </w:r>
    </w:p>
    <w:bookmarkStart w:id="11" w:name="заголовок-блока-header_block"/>
    <w:p>
      <w:pPr>
        <w:pStyle w:val="Heading3"/>
      </w:pPr>
      <w:r>
        <w:t xml:space="preserve">2.1. 1. Заголовок блока (Header_block)</w:t>
      </w:r>
    </w:p>
    <w:p>
      <w:pPr>
        <w:pStyle w:val="FirstParagraph"/>
      </w:pPr>
      <w:r>
        <w:t xml:space="preserve">Заголовок блока (</w:t>
      </w:r>
      <w:r>
        <w:rPr>
          <w:rStyle w:val="VerbatimChar"/>
        </w:rPr>
        <w:t xml:space="preserve">THeader_Block</w:t>
      </w:r>
      <w:r>
        <w:t xml:space="preserve">) всегда располагается в начале блока и занимает</w:t>
      </w:r>
      <w:r>
        <w:t xml:space="preserve"> </w:t>
      </w:r>
      <w:r>
        <w:rPr>
          <w:b/>
          <w:bCs/>
        </w:rPr>
        <w:t xml:space="preserve">16 байт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23"/>
        <w:gridCol w:w="521"/>
        <w:gridCol w:w="228"/>
        <w:gridCol w:w="674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текущего блока в файле</w:t>
            </w:r>
            <w:r>
              <w:t xml:space="preserve"> </w:t>
            </w:r>
            <w:r>
              <w:rPr>
                <w:rStyle w:val="VerbatimChar"/>
              </w:rPr>
              <w:t xml:space="preserve">.l01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prev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предыдущего блока</w:t>
            </w:r>
            <w:r>
              <w:t xml:space="preserve"> </w:t>
            </w:r>
            <w:r>
              <w:rPr>
                <w:rStyle w:val="VerbatimChar"/>
              </w:rPr>
              <w:t xml:space="preserve">.l01</w:t>
            </w:r>
            <w:r>
              <w:t xml:space="preserve"> </w:t>
            </w:r>
            <w:r>
              <w:t xml:space="preserve">по алфавиту (двусвязный список). Используется для функции последовательного сканирования словаря назад (</w:t>
            </w:r>
            <w:r>
              <w:rPr>
                <w:rStyle w:val="VerbatimChar"/>
              </w:rPr>
              <w:t xml:space="preserve">IrbisPrevTerm</w:t>
            </w:r>
            <w:r>
              <w:t xml:space="preserve">). Отрицательное значение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означает начало списка.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next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следующего блока</w:t>
            </w:r>
            <w:r>
              <w:t xml:space="preserve"> </w:t>
            </w:r>
            <w:r>
              <w:rPr>
                <w:rStyle w:val="VerbatimChar"/>
              </w:rPr>
              <w:t xml:space="preserve">.l01</w:t>
            </w:r>
            <w:r>
              <w:t xml:space="preserve"> </w:t>
            </w:r>
            <w:r>
              <w:t xml:space="preserve">по алфавиту. Используется для функции последовательного сканирования словаря вперед (</w:t>
            </w:r>
            <w:r>
              <w:rPr>
                <w:rStyle w:val="VerbatimChar"/>
              </w:rPr>
              <w:t xml:space="preserve">IrbisNxtTerm</w:t>
            </w:r>
            <w:r>
              <w:t xml:space="preserve">). Отрицательное значение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означает конец списка.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unsigned short</w:t>
            </w:r>
          </w:p>
        </w:tc>
        <w:tc>
          <w:tcPr/>
          <w:p>
            <w:pPr>
              <w:pStyle w:val="Compact"/>
            </w:pPr>
            <w:r>
              <w:t xml:space="preserve">2 байта</w:t>
            </w:r>
          </w:p>
        </w:tc>
        <w:tc>
          <w:tcPr/>
          <w:p>
            <w:pPr>
              <w:pStyle w:val="Compact"/>
            </w:pPr>
            <w:r>
              <w:t xml:space="preserve">Количество терминов (ключей), содержащихся в текущем блоке.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offset_free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unsigned short</w:t>
            </w:r>
          </w:p>
        </w:tc>
        <w:tc>
          <w:tcPr/>
          <w:p>
            <w:pPr>
              <w:pStyle w:val="Compact"/>
            </w:pPr>
            <w:r>
              <w:t xml:space="preserve">2 байта</w:t>
            </w:r>
          </w:p>
        </w:tc>
        <w:tc>
          <w:tcPr/>
          <w:p>
            <w:pPr>
              <w:pStyle w:val="Compact"/>
            </w:pPr>
            <w:r>
              <w:t xml:space="preserve">Смещение на свободное пространство</w:t>
            </w:r>
            <w:r>
              <w:t xml:space="preserve"> </w:t>
            </w:r>
            <w:r>
              <w:rPr>
                <w:b/>
                <w:bCs/>
              </w:rPr>
              <w:t xml:space="preserve">от начала блока</w:t>
            </w:r>
            <w:r>
              <w:t xml:space="preserve">. Указывает на границу, до которой записаны ключи со стороны конца блока.</w:t>
            </w:r>
          </w:p>
        </w:tc>
      </w:tr>
    </w:tbl>
    <w:bookmarkEnd w:id="11"/>
    <w:bookmarkStart w:id="12" w:name="заголовок-ключа-header_key"/>
    <w:p>
      <w:pPr>
        <w:pStyle w:val="Heading3"/>
      </w:pPr>
      <w:r>
        <w:t xml:space="preserve">2.2. 2. Заголовок ключа (Header_key)</w:t>
      </w:r>
    </w:p>
    <w:p>
      <w:pPr>
        <w:pStyle w:val="FirstParagraph"/>
      </w:pPr>
      <w:r>
        <w:t xml:space="preserve">Следом за</w:t>
      </w:r>
      <w:r>
        <w:t xml:space="preserve"> </w:t>
      </w:r>
      <w:r>
        <w:rPr>
          <w:rStyle w:val="VerbatimChar"/>
        </w:rPr>
        <w:t xml:space="preserve">Header_block</w:t>
      </w:r>
      <w:r>
        <w:t xml:space="preserve"> </w:t>
      </w:r>
      <w:r>
        <w:t xml:space="preserve">идет массив элементов</w:t>
      </w:r>
      <w:r>
        <w:t xml:space="preserve"> </w:t>
      </w:r>
      <w:r>
        <w:rPr>
          <w:rStyle w:val="VerbatimChar"/>
        </w:rPr>
        <w:t xml:space="preserve">Header_key</w:t>
      </w:r>
      <w:r>
        <w:t xml:space="preserve"> </w:t>
      </w:r>
      <w:r>
        <w:t xml:space="preserve">(</w:t>
      </w:r>
      <w:r>
        <w:rPr>
          <w:rStyle w:val="VerbatimChar"/>
        </w:rPr>
        <w:t xml:space="preserve">THeader_Key</w:t>
      </w:r>
      <w:r>
        <w:t xml:space="preserve">), по одному на каждый термин в блоке. Описание одного элемента занимает</w:t>
      </w:r>
      <w:r>
        <w:t xml:space="preserve"> </w:t>
      </w:r>
      <w:r>
        <w:rPr>
          <w:b/>
          <w:bCs/>
        </w:rPr>
        <w:t xml:space="preserve">12 байт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51"/>
        <w:gridCol w:w="356"/>
        <w:gridCol w:w="146"/>
        <w:gridCol w:w="716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len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unsigned short</w:t>
            </w:r>
          </w:p>
        </w:tc>
        <w:tc>
          <w:tcPr/>
          <w:p>
            <w:pPr>
              <w:pStyle w:val="Compact"/>
            </w:pPr>
            <w:r>
              <w:t xml:space="preserve">2 байта</w:t>
            </w:r>
          </w:p>
        </w:tc>
        <w:tc>
          <w:tcPr/>
          <w:p>
            <w:pPr>
              <w:pStyle w:val="Compact"/>
            </w:pPr>
            <w:r>
              <w:t xml:space="preserve">Длина ключа (термина). Максимальная длина термина ограничена 255 символами.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offset_key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unsigned short</w:t>
            </w:r>
          </w:p>
        </w:tc>
        <w:tc>
          <w:tcPr/>
          <w:p>
            <w:pPr>
              <w:pStyle w:val="Compact"/>
            </w:pPr>
            <w:r>
              <w:t xml:space="preserve">2 байта</w:t>
            </w:r>
          </w:p>
        </w:tc>
        <w:tc>
          <w:tcPr/>
          <w:p>
            <w:pPr>
              <w:pStyle w:val="Compact"/>
            </w:pPr>
            <w:r>
              <w:t xml:space="preserve">Смещение на начало ключа (строки символов) относительно начала блока.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TInt64</w:t>
            </w:r>
            <w:r>
              <w:t xml:space="preserve"> </w:t>
            </w:r>
            <w:r>
              <w:t xml:space="preserve">(struct)</w:t>
            </w:r>
          </w:p>
        </w:tc>
        <w:tc>
          <w:tcPr/>
          <w:p>
            <w:pPr>
              <w:pStyle w:val="Compact"/>
            </w:pPr>
            <w:r>
              <w:t xml:space="preserve">8 байт</w:t>
            </w:r>
          </w:p>
        </w:tc>
        <w:tc>
          <w:tcPr/>
          <w:p>
            <w:pPr>
              <w:pStyle w:val="Compact"/>
            </w:pPr>
            <w:r>
              <w:t xml:space="preserve">64-битное число, записанное в виде двух 32-битных частей. На диске</w:t>
            </w:r>
            <w:r>
              <w:t xml:space="preserve"> </w:t>
            </w:r>
            <w:r>
              <w:rPr>
                <w:b/>
                <w:bCs/>
              </w:rPr>
              <w:t xml:space="preserve">сначала располагается</w:t>
            </w:r>
            <w:r>
              <w:rPr>
                <w:b/>
                <w:bCs/>
              </w:rPr>
              <w:t xml:space="preserve"> </w:t>
            </w:r>
            <w:r>
              <w:rPr>
                <w:rStyle w:val="VerbatimChar"/>
                <w:b/>
                <w:bCs/>
              </w:rPr>
              <w:t xml:space="preserve">LowWord</w:t>
            </w:r>
            <w:r>
              <w:t xml:space="preserve"> </w:t>
            </w:r>
            <w:r>
              <w:t xml:space="preserve">(4 байта), а затем</w:t>
            </w:r>
            <w:r>
              <w:t xml:space="preserve"> </w:t>
            </w:r>
            <w:r>
              <w:rPr>
                <w:rStyle w:val="VerbatimChar"/>
                <w:b/>
                <w:bCs/>
              </w:rPr>
              <w:t xml:space="preserve">HiWord</w:t>
            </w:r>
            <w:r>
              <w:t xml:space="preserve"> </w:t>
            </w:r>
            <w:r>
              <w:t xml:space="preserve">(4 байта). В листовом файле</w:t>
            </w:r>
            <w:r>
              <w:t xml:space="preserve"> </w:t>
            </w:r>
            <w:r>
              <w:rPr>
                <w:rStyle w:val="VerbatimChar"/>
              </w:rPr>
              <w:t xml:space="preserve">.l01</w:t>
            </w:r>
            <w:r>
              <w:t xml:space="preserve"> </w:t>
            </w:r>
            <w:r>
              <w:t xml:space="preserve">это значение интерпретируется как</w:t>
            </w:r>
            <w:r>
              <w:t xml:space="preserve"> </w:t>
            </w:r>
            <w:r>
              <w:rPr>
                <w:b/>
                <w:bCs/>
              </w:rPr>
              <w:t xml:space="preserve">абсолютное смещение в байтах (или указатель)</w:t>
            </w:r>
            <w:r>
              <w:t xml:space="preserve"> </w:t>
            </w:r>
            <w:r>
              <w:t xml:space="preserve">на первую запись со списком постингов (ссылок на MFN) для данного термина в файле</w:t>
            </w:r>
            <w:r>
              <w:t xml:space="preserve"> </w:t>
            </w:r>
            <w:r>
              <w:rPr>
                <w:rStyle w:val="VerbatimChar"/>
              </w:rPr>
              <w:t xml:space="preserve">.ifp</w:t>
            </w:r>
            <w:r>
              <w:t xml:space="preserve">.</w:t>
            </w:r>
          </w:p>
        </w:tc>
      </w:tr>
    </w:tbl>
    <w:bookmarkEnd w:id="12"/>
    <w:bookmarkStart w:id="13" w:name="термины-ключи"/>
    <w:p>
      <w:pPr>
        <w:pStyle w:val="Heading3"/>
      </w:pPr>
      <w:r>
        <w:t xml:space="preserve">2.3. 3. Термины (Ключи)</w:t>
      </w:r>
    </w:p>
    <w:p>
      <w:pPr>
        <w:pStyle w:val="FirstParagraph"/>
      </w:pPr>
      <w:r>
        <w:t xml:space="preserve">Сами строковые значения ключей записываются, начиная с конца блока. Значение смещения для каждого термина определяется в поле</w:t>
      </w:r>
      <w:r>
        <w:t xml:space="preserve"> </w:t>
      </w:r>
      <w:r>
        <w:rPr>
          <w:rStyle w:val="VerbatimChar"/>
        </w:rPr>
        <w:t xml:space="preserve">offset_key</w:t>
      </w:r>
      <w:r>
        <w:t xml:space="preserve">. Термины хранятся в отсортированном виде внутри блока.</w:t>
      </w:r>
    </w:p>
    <w:bookmarkEnd w:id="13"/>
    <w:bookmarkEnd w:id="14"/>
    <w:bookmarkStart w:id="15" w:name="расчет-свободного-места"/>
    <w:p>
      <w:pPr>
        <w:pStyle w:val="Heading2"/>
      </w:pPr>
      <w:r>
        <w:t xml:space="preserve">3. Расчет свободного места</w:t>
      </w:r>
    </w:p>
    <w:p>
      <w:pPr>
        <w:pStyle w:val="FirstParagraph"/>
      </w:pPr>
      <w:r>
        <w:t xml:space="preserve">Свободное (незанятое) пространство в блоке вычисляется по той же формуле, что и в индексных блоках:</w:t>
      </w:r>
    </w:p>
    <w:p>
      <w:pPr>
        <w:pStyle w:val="BodyText"/>
      </w:pPr>
      <w:r>
        <w:rPr>
          <w:rStyle w:val="VerbatimChar"/>
        </w:rPr>
        <w:t xml:space="preserve">Свободно = offset_free - (terms * 12) - 16</w:t>
      </w:r>
    </w:p>
    <w:bookmarkEnd w:id="15"/>
    <w:bookmarkStart w:id="16" w:name="особенности-навигации"/>
    <w:p>
      <w:pPr>
        <w:pStyle w:val="Heading2"/>
      </w:pPr>
      <w:r>
        <w:t xml:space="preserve">4. Особенности навигации</w:t>
      </w:r>
    </w:p>
    <w:p>
      <w:pPr>
        <w:pStyle w:val="FirstParagraph"/>
      </w:pPr>
      <w:r>
        <w:t xml:space="preserve">Наличие двусвязного списка (</w:t>
      </w:r>
      <w:r>
        <w:rPr>
          <w:rStyle w:val="VerbatimChar"/>
        </w:rPr>
        <w:t xml:space="preserve">prev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next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THeader_Block</w:t>
      </w:r>
      <w:r>
        <w:t xml:space="preserve">) позволяет базе данных ИРБИС быстро и эффективно производить навигацию по словарю в прямом и обратном направлении (получение соседних терминов), не выполняя каждый раз полный обход дерева от корня (из файла</w:t>
      </w:r>
      <w:r>
        <w:t xml:space="preserve"> </w:t>
      </w:r>
      <w:r>
        <w:rPr>
          <w:rStyle w:val="VerbatimChar"/>
        </w:rPr>
        <w:t xml:space="preserve">.n01</w:t>
      </w:r>
      <w:r>
        <w:t xml:space="preserve">).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файла .l01 (Словарь ИРБИС64 - Листовые узлы дерева поиска)</dc:title>
  <dc:creator/>
  <cp:keywords/>
  <dcterms:created xsi:type="dcterms:W3CDTF">2026-09-06T16:28:24Z</dcterms:created>
  <dcterms:modified xsi:type="dcterms:W3CDTF">2026-09-06T16:28:24Z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