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зрачная-авторизация-из-внешних-систем"/>
    <w:p>
      <w:pPr>
        <w:pStyle w:val="Heading1"/>
      </w:pPr>
      <w:r>
        <w:t xml:space="preserve">Прозрачная авторизация из внешних систем</w:t>
      </w:r>
    </w:p>
    <w:p>
      <w:pPr>
        <w:pStyle w:val="FirstParagraph"/>
      </w:pPr>
      <w:r>
        <w:t xml:space="preserve">Прозрачная авторизация позволяет внешней системе открыть защищенную страницу ИРБИС 128 по ссылке без ручного ввода пароля пользователем. В ссылку передаются логин, имя ключа, время формирования ссылки и подпись, рассчитанная по секретному ключу.</w:t>
      </w:r>
    </w:p>
    <w:p>
      <w:pPr>
        <w:pStyle w:val="BodyText"/>
      </w:pPr>
      <w:r>
        <w:t xml:space="preserve">Такой вход проходит через общий механизм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: после успешной проверки подписи система находит запись пользователя в базе пользователей, устанавливает обычный сессионный контекст и загружает контекст АРМ.</w:t>
      </w:r>
    </w:p>
    <w:bookmarkStart w:id="9" w:name="настройка-ключей"/>
    <w:p>
      <w:pPr>
        <w:pStyle w:val="Heading2"/>
      </w:pPr>
      <w:r>
        <w:t xml:space="preserve">1. Настройка ключей</w:t>
      </w:r>
    </w:p>
    <w:p>
      <w:pPr>
        <w:pStyle w:val="FirstParagraph"/>
      </w:pPr>
      <w:r>
        <w:t xml:space="preserve">Ключи проверяются модулем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В настройках модуля используется список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Настройка прозрачной авторизации из внешних систем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ключа</w:t>
            </w:r>
          </w:p>
        </w:tc>
        <w:tc>
          <w:tcPr/>
          <w:p>
            <w:pPr>
              <w:pStyle w:val="Compact"/>
            </w:pPr>
            <w:r>
              <w:t xml:space="preserve">Человекочитаемое название записи ключа.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 ключа</w:t>
            </w:r>
          </w:p>
        </w:tc>
        <w:tc>
          <w:tcPr/>
          <w:p>
            <w:pPr>
              <w:pStyle w:val="Compact"/>
            </w:pPr>
            <w:r>
              <w:t xml:space="preserve">Значение параметра</w:t>
            </w:r>
            <w:r>
              <w:t xml:space="preserve"> </w:t>
            </w:r>
            <w:r>
              <w:rPr>
                <w:rStyle w:val="VerbatimChar"/>
              </w:rPr>
              <w:t xml:space="preserve">I128FAuthKeyName</w:t>
            </w:r>
            <w:r>
              <w:t xml:space="preserve">, которое передается во внешней ссылке.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Ключевая строка</w:t>
            </w:r>
          </w:p>
        </w:tc>
        <w:tc>
          <w:tcPr/>
          <w:p>
            <w:pPr>
              <w:pStyle w:val="Compact"/>
            </w:pPr>
            <w:r>
              <w:t xml:space="preserve">Секретная строка для расчета подписи. В ссылку она не передается.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Срок жизни ссылки</w:t>
            </w:r>
          </w:p>
        </w:tc>
        <w:tc>
          <w:tcPr/>
          <w:p>
            <w:pPr>
              <w:pStyle w:val="Compact"/>
            </w:pPr>
            <w:r>
              <w:t xml:space="preserve">Количество секунд, в течение которых ссылка считается действительной.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300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каждой внешней системы или рассылки рекомендуется использовать отдельную запись ключа. При смене ключа нужно одновременно обновить настройку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</w:t>
      </w:r>
    </w:p>
    <w:p>
      <w:pPr>
        <w:pStyle w:val="BodyText"/>
      </w:pPr>
      <w:r>
        <w:t xml:space="preserve">Если защищенные ссылки формирует 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, в его настройках должны быть заполнены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должно совпадать с мнемоническим именем ключа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 а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- с ключевой строкой той же записи.</w:t>
      </w:r>
    </w:p>
    <w:bookmarkEnd w:id="9"/>
    <w:bookmarkStart w:id="10" w:name="параметры-ссылки"/>
    <w:p>
      <w:pPr>
        <w:pStyle w:val="Heading2"/>
      </w:pPr>
      <w:r>
        <w:t xml:space="preserve">2. Параметры ссылки</w:t>
      </w:r>
    </w:p>
    <w:p>
      <w:pPr>
        <w:pStyle w:val="FirstParagraph"/>
      </w:pPr>
      <w:r>
        <w:t xml:space="preserve">Внешняя система добавляет к целевому адресу следующие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другое значение, по которому запись пользователя находится в базе пользователей через префикс</w:t>
            </w:r>
            <w:r>
              <w:t xml:space="preserve"> </w:t>
            </w:r>
            <w:r>
              <w:rPr>
                <w:rStyle w:val="VerbatimChar"/>
              </w:rPr>
              <w:t xml:space="preserve">loginPrefix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Время формирования ссылки в формате Unix time.</w:t>
            </w:r>
          </w:p>
        </w:tc>
      </w:tr>
    </w:tbl>
    <w:p>
      <w:pPr>
        <w:pStyle w:val="BodyText"/>
      </w:pPr>
      <w:r>
        <w:t xml:space="preserve">Подпись рассчитывается без разделителей:</w:t>
      </w:r>
    </w:p>
    <w:p>
      <w:pPr>
        <w:pStyle w:val="SourceCode"/>
      </w:pPr>
      <w:r>
        <w:rPr>
          <w:rStyle w:val="VerbatimChar"/>
        </w:rPr>
        <w:t xml:space="preserve">I128FAuthPass = md5(I128FAuth . md5(secret) . I128FAuthTime)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secret</w:t>
      </w:r>
      <w:r>
        <w:t xml:space="preserve"> </w:t>
      </w:r>
      <w:r>
        <w:t xml:space="preserve">- ключевая строка из выбранной записи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</w:t>
      </w:r>
    </w:p>
    <w:p>
      <w:pPr>
        <w:pStyle w:val="BodyText"/>
      </w:pPr>
      <w:r>
        <w:t xml:space="preserve">Пример структуры ссылки:</w:t>
      </w:r>
    </w:p>
    <w:p>
      <w:pPr>
        <w:pStyle w:val="SourceCode"/>
      </w:pPr>
      <w:r>
        <w:rPr>
          <w:rStyle w:val="VerbatimChar"/>
        </w:rPr>
        <w:t xml:space="preserve">?id=EC/Show&amp;base[]=IBIS&amp;o=Search&amp;orsrc[]=%22I=123%22&amp;I128FAuth=&lt;login&gt;&amp;I128FAuthPass=&lt;signature&gt;&amp;I128FAuthKeyName=&lt;key_name&gt;&amp;I128FAuthTime=&lt;unix_time&gt;</w:t>
      </w:r>
    </w:p>
    <w:bookmarkEnd w:id="10"/>
    <w:bookmarkStart w:id="11" w:name="проверка-входа"/>
    <w:p>
      <w:pPr>
        <w:pStyle w:val="Heading2"/>
      </w:pPr>
      <w:r>
        <w:t xml:space="preserve">3. Проверка входа</w:t>
      </w:r>
    </w:p>
    <w:p>
      <w:pPr>
        <w:pStyle w:val="FirstParagraph"/>
      </w:pPr>
      <w:r>
        <w:t xml:space="preserve">При открытии ссылки модуль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выполняет проверку в общем процессе входа: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CheckOnline</w:t>
      </w:r>
      <w:r>
        <w:t xml:space="preserve"> </w:t>
      </w:r>
      <w:r>
        <w:t xml:space="preserve">обнаруживает параметр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 передает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LoginFunc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LoginFunc</w:t>
      </w:r>
      <w:r>
        <w:t xml:space="preserve"> </w:t>
      </w:r>
      <w:r>
        <w:t xml:space="preserve">первым способом вызывает</w:t>
      </w:r>
      <w:r>
        <w:t xml:space="preserve"> </w:t>
      </w:r>
      <w:r>
        <w:rPr>
          <w:rStyle w:val="VerbatimChar"/>
        </w:rPr>
        <w:t xml:space="preserve">authTransparent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находит запись пользователя в базе пользователей по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 </w:t>
      </w:r>
      <w:r>
        <w:t xml:space="preserve">и значению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выбирает ключ по</w:t>
      </w:r>
      <w:r>
        <w:t xml:space="preserve"> </w:t>
      </w:r>
      <w:r>
        <w:rPr>
          <w:rStyle w:val="VerbatimChar"/>
        </w:rPr>
        <w:t xml:space="preserve">I128FAuthKeyName</w:t>
      </w:r>
      <w:r>
        <w:t xml:space="preserve">, пересчитывает подпись и сравнивает ее с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I128FAuthTime</w:t>
      </w:r>
      <w:r>
        <w:t xml:space="preserve"> </w:t>
      </w:r>
      <w:r>
        <w:t xml:space="preserve">отличается от текущего времени сервера меньше чем на срок жизни ключа, вход считается успешным и для пользователя устанавливается обычный сессионный контекст.</w:t>
      </w:r>
    </w:p>
    <w:p>
      <w:pPr>
        <w:pStyle w:val="FirstParagraph"/>
      </w:pPr>
      <w:r>
        <w:t xml:space="preserve">Если логин, имя ключа, подпись или срок действия не проходят проверку, прозрачная авторизация не выполняется.</w:t>
      </w:r>
    </w:p>
    <w:bookmarkEnd w:id="11"/>
    <w:bookmarkStart w:id="12" w:name="практические-рекомендации"/>
    <w:p>
      <w:pPr>
        <w:pStyle w:val="Heading2"/>
      </w:pPr>
      <w:r>
        <w:t xml:space="preserve">4. Практические рекомендации</w:t>
      </w:r>
    </w:p>
    <w:p>
      <w:pPr>
        <w:pStyle w:val="Compact"/>
        <w:numPr>
          <w:ilvl w:val="0"/>
          <w:numId w:val="1002"/>
        </w:numPr>
      </w:pPr>
      <w:r>
        <w:t xml:space="preserve">Используйте отдельную пару ключей для каждой внешней системы или рассылки.</w:t>
      </w:r>
    </w:p>
    <w:p>
      <w:pPr>
        <w:pStyle w:val="Compact"/>
        <w:numPr>
          <w:ilvl w:val="0"/>
          <w:numId w:val="1002"/>
        </w:numPr>
      </w:pPr>
      <w:r>
        <w:t xml:space="preserve">Не передавайте ключевую строку в ссылке, письме или клиентском коде.</w:t>
      </w:r>
    </w:p>
    <w:p>
      <w:pPr>
        <w:pStyle w:val="Compact"/>
        <w:numPr>
          <w:ilvl w:val="0"/>
          <w:numId w:val="1002"/>
        </w:numPr>
      </w:pPr>
      <w:r>
        <w:t xml:space="preserve">Назначайте короткий срок жизни ссылки и учитывайте возможное расхождение времени между внешней системой и сервером ИРБИС 128.</w:t>
      </w:r>
    </w:p>
    <w:p>
      <w:pPr>
        <w:pStyle w:val="Compact"/>
        <w:numPr>
          <w:ilvl w:val="0"/>
          <w:numId w:val="1002"/>
        </w:numPr>
      </w:pPr>
      <w:r>
        <w:t xml:space="preserve">Кодируйте значения параметров URL, если логин, поисковое значение или имя ключа содержат пробелы, спецсимволы или кириллицу.</w:t>
      </w:r>
    </w:p>
    <w:p>
      <w:pPr>
        <w:pStyle w:val="Compact"/>
        <w:numPr>
          <w:ilvl w:val="0"/>
          <w:numId w:val="1002"/>
        </w:numPr>
      </w:pPr>
      <w:r>
        <w:t xml:space="preserve">Проверяйте, что значение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действительно находится в базе пользователей через текущий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смене ключа обновите его одновременно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 Для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это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Прозрачная авторизация из внешних систем</dc:title>
  <dc:creator/>
  <cp:keywords/>
  <dcterms:created xsi:type="dcterms:W3CDTF">2026-09-08T10:10:02Z</dcterms:created>
  <dcterms:modified xsi:type="dcterms:W3CDTF">2026-09-08T10:10:02Z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