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выбытия за период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выбытия-за-период"/>
    <w:p>
      <w:pPr>
        <w:pStyle w:val="Heading1"/>
      </w:pPr>
      <w:r>
        <w:t xml:space="preserve">КСУ выбытия за период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хранит записи книги суммарного учета выбытия за период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fs"/>
    <w:p>
      <w:pPr>
        <w:pStyle w:val="Heading2"/>
      </w:pPr>
      <w:r>
        <w:t xml:space="preserve">Назначение KSFS</w:t>
      </w:r>
    </w:p>
    <w:p>
      <w:pPr>
        <w:pStyle w:val="FirstParagraph"/>
      </w:pPr>
      <w:r>
        <w:rPr>
          <w:rStyle w:val="VerbatimChar"/>
        </w:rPr>
        <w:t xml:space="preserve">KSFS</w:t>
      </w:r>
      <w:r>
        <w:t xml:space="preserve"> </w:t>
      </w:r>
      <w:r>
        <w:t xml:space="preserve">является карточным модулем для записей КСУ выбытия за период. Он использует тип записи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выбытия за период</dc:title>
  <dc:creator/>
  <cp:keywords/>
  <dcterms:created xsi:type="dcterms:W3CDTF">2026-09-12T01:50:50Z</dcterms:created>
  <dcterms:modified xsi:type="dcterms:W3CDTF">2026-09-12T01:50:50Z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