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Модуль авторизации пользователей использует в качестве базы пользователей основную пользовательскую базу, указанную в основных настройках системы АРМ «Администратор».</w:t>
      </w:r>
    </w:p>
    <w:p>
      <w:pPr>
        <w:pStyle w:val="BodyText"/>
      </w:pPr>
      <w:r>
        <w:t xml:space="preserve">При входе модуль ищет запись пользователя, проверяет выбранный способ аутентификации и при успешном входе устанавливает сессионный контекст пользователя. Для записи события входа используется протокол доступа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.</w:t>
      </w:r>
    </w:p>
    <w:bookmarkStart w:id="10" w:name="способы-входа"/>
    <w:p>
      <w:pPr>
        <w:pStyle w:val="Heading2"/>
      </w:pPr>
      <w:r>
        <w:t xml:space="preserve">1. Способы входа</w:t>
      </w:r>
    </w:p>
    <w:p>
      <w:pPr>
        <w:pStyle w:val="FirstParagraph"/>
      </w:pPr>
      <w:r>
        <w:t xml:space="preserve">Текущий порядок проверки входа задаётся кодом</w:t>
      </w:r>
      <w:r>
        <w:t xml:space="preserve"> </w:t>
      </w:r>
      <w:r>
        <w:rPr>
          <w:rStyle w:val="VerbatimChar"/>
        </w:rPr>
        <w:t xml:space="preserve">Authorisation/LoginFunc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t xml:space="preserve">Прозрачная авторизация через сохранённый контекст или подписанную внешнюю ссылку. См. раздел</w:t>
      </w:r>
      <w:r>
        <w:t xml:space="preserve"> </w:t>
      </w:r>
      <w:hyperlink r:id="rId9">
        <w:r>
          <w:rPr>
            <w:rStyle w:val="Hyperlink"/>
          </w:rPr>
          <w:t xml:space="preserve">Прозрачная авторизация из внешних систем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Учётные данные ИРБИС 128, если включён параметр</w:t>
      </w:r>
      <w:r>
        <w:t xml:space="preserve"> </w:t>
      </w:r>
      <w:r>
        <w:rPr>
          <w:rStyle w:val="VerbatimChar"/>
        </w:rPr>
        <w:t xml:space="preserve">AllowIrbis128Login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Одноразовый пароль, если включён параметр</w:t>
      </w:r>
      <w:r>
        <w:t xml:space="preserve"> </w:t>
      </w:r>
      <w:r>
        <w:rPr>
          <w:rStyle w:val="VerbatimChar"/>
        </w:rPr>
        <w:t xml:space="preserve">AllowOUPLogin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Учётные данные Web-ИРБИС, если включён параметр</w:t>
      </w:r>
      <w:r>
        <w:t xml:space="preserve"> </w:t>
      </w:r>
      <w:r>
        <w:rPr>
          <w:rStyle w:val="VerbatimChar"/>
        </w:rPr>
        <w:t xml:space="preserve">AllowWebIrbisLogin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LDAP/Active Directory, если включён параметр</w:t>
      </w:r>
      <w:r>
        <w:t xml:space="preserve"> </w:t>
      </w:r>
      <w:r>
        <w:rPr>
          <w:rStyle w:val="VerbatimChar"/>
        </w:rPr>
        <w:t xml:space="preserve">AllowLDAPLogin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ВКонтакте, если включён параметр</w:t>
      </w:r>
      <w:r>
        <w:t xml:space="preserve"> </w:t>
      </w:r>
      <w:r>
        <w:rPr>
          <w:rStyle w:val="VerbatimChar"/>
        </w:rPr>
        <w:t xml:space="preserve">vkAllow</w:t>
      </w:r>
      <w:r>
        <w:t xml:space="preserve">.</w:t>
      </w:r>
    </w:p>
    <w:p>
      <w:pPr>
        <w:pStyle w:val="FirstParagraph"/>
      </w:pPr>
      <w:r>
        <w:t xml:space="preserve">Вход через ЕСИА запускается отдельным переходом на action</w:t>
      </w:r>
      <w:r>
        <w:t xml:space="preserve"> </w:t>
      </w:r>
      <w:r>
        <w:rPr>
          <w:rStyle w:val="VerbatimChar"/>
        </w:rPr>
        <w:t xml:space="preserve">Authorisation/AuthESIAInput</w:t>
      </w:r>
      <w:r>
        <w:t xml:space="preserve">: пользователь подтверждает вход на портале ЕСИА, после чего модуль возвращается в</w:t>
      </w:r>
      <w:r>
        <w:t xml:space="preserve"> </w:t>
      </w:r>
      <w:r>
        <w:rPr>
          <w:rStyle w:val="VerbatimChar"/>
        </w:rPr>
        <w:t xml:space="preserve">Authorisation/AuthESIA</w:t>
      </w:r>
      <w:r>
        <w:t xml:space="preserve">, сопоставляет или создаёт запись читателя и выполняет обычный вход по выбранному типу учётных данных.</w:t>
      </w:r>
    </w:p>
    <w:p>
      <w:pPr>
        <w:pStyle w:val="BodyText"/>
      </w:pPr>
      <w:r>
        <w:t xml:space="preserve">Если пользователь найден и успешно проверен, модуль обновляет служебные данные входа в записи пользователя, устанавливает cookies последнего входа и загружает контекст АРМ.</w:t>
      </w:r>
    </w:p>
    <w:bookmarkEnd w:id="10"/>
    <w:bookmarkStart w:id="11" w:name="X98b93d6b4cbe105870d0b7c39400e50c8bbd7f4"/>
    <w:p>
      <w:pPr>
        <w:pStyle w:val="Heading2"/>
      </w:pPr>
      <w:r>
        <w:t xml:space="preserve">2. Прозрачная авторизация из внешней системы</w:t>
      </w:r>
    </w:p>
    <w:p>
      <w:pPr>
        <w:pStyle w:val="FirstParagraph"/>
      </w:pPr>
      <w:r>
        <w:t xml:space="preserve">Для внешних ссылок можно передать подписанные параметры прозрачной авторизации:</w:t>
      </w:r>
    </w:p>
    <w:p>
      <w:pPr>
        <w:pStyle w:val="BodyText"/>
      </w:pPr>
      <w:r>
        <w:t xml:space="preserve">Таблица 1. Параметры прозрачной авторизации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</w:t>
            </w:r>
          </w:p>
        </w:tc>
        <w:tc>
          <w:tcPr/>
          <w:p>
            <w:pPr>
              <w:pStyle w:val="Compact"/>
            </w:pPr>
            <w:r>
              <w:t xml:space="preserve">Логин или значение поискового ключа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I128FAuthPass</w:t>
            </w:r>
          </w:p>
        </w:tc>
        <w:tc>
          <w:tcPr/>
          <w:p>
            <w:pPr>
              <w:pStyle w:val="Compact"/>
            </w:pPr>
            <w:r>
              <w:t xml:space="preserve">Подпись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I128FAuthKeyName</w:t>
            </w:r>
          </w:p>
        </w:tc>
        <w:tc>
          <w:tcPr/>
          <w:p>
            <w:pPr>
              <w:pStyle w:val="Compact"/>
            </w:pPr>
            <w:r>
              <w:t xml:space="preserve">Мнемоника ключа из настройки</w:t>
            </w:r>
            <w:r>
              <w:t xml:space="preserve"> </w:t>
            </w:r>
            <w:r>
              <w:rPr>
                <w:rStyle w:val="VerbatimChar"/>
              </w:rPr>
              <w:t xml:space="preserve">transparentAuthKeys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I128FAuthTime</w:t>
            </w:r>
          </w:p>
        </w:tc>
        <w:tc>
          <w:tcPr/>
          <w:p>
            <w:pPr>
              <w:pStyle w:val="Compact"/>
            </w:pPr>
            <w:r>
              <w:t xml:space="preserve">Unix time, для которого рассчитана подпись.</w:t>
            </w:r>
          </w:p>
        </w:tc>
      </w:tr>
    </w:tbl>
    <w:p>
      <w:pPr>
        <w:pStyle w:val="BodyText"/>
      </w:pPr>
      <w:r>
        <w:t xml:space="preserve">Подпись рассчитывается как</w:t>
      </w:r>
      <w:r>
        <w:t xml:space="preserve"> </w:t>
      </w:r>
      <w:r>
        <w:rPr>
          <w:rStyle w:val="VerbatimChar"/>
        </w:rPr>
        <w:t xml:space="preserve">md5($login . md5($keyValue) . $unix_time)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$keyValue</w:t>
      </w:r>
      <w:r>
        <w:t xml:space="preserve"> </w:t>
      </w:r>
      <w:r>
        <w:t xml:space="preserve">- секретное значение ключа из</w:t>
      </w:r>
      <w:r>
        <w:t xml:space="preserve"> </w:t>
      </w:r>
      <w:r>
        <w:rPr>
          <w:rStyle w:val="VerbatimChar"/>
        </w:rPr>
        <w:t xml:space="preserve">transparentAuthKeys</w:t>
      </w:r>
      <w:r>
        <w:t xml:space="preserve">. Срок действия ссылки задается в той же настройке; если время запроса вышло за допустимый интервал, вход отклоняется.</w:t>
      </w:r>
    </w:p>
    <w:bookmarkEnd w:id="11"/>
    <w:bookmarkStart w:id="12" w:name="связанные-настройки"/>
    <w:p>
      <w:pPr>
        <w:pStyle w:val="Heading2"/>
      </w:pPr>
      <w:r>
        <w:t xml:space="preserve">3. Связанные настройки</w:t>
      </w:r>
    </w:p>
    <w:p>
      <w:pPr>
        <w:pStyle w:val="FirstParagraph"/>
      </w:pPr>
      <w:r>
        <w:t xml:space="preserve">Основные параметры модуля доступны в настройках модулей системы АРМ «Администратор». Для внешних способов входа используйте отдельные разделы настроек LDAP, ВКонтакте, одноразовых паролей, ЕСИА и прозрачной авторизации.</w:t>
      </w:r>
    </w:p>
    <w:p>
      <w:pPr>
        <w:pStyle w:val="BodyText"/>
      </w:pPr>
      <w:r>
        <w:t xml:space="preserve">Права доступа пользователя описываются в общей модели безопасности системы. См. также</w:t>
      </w:r>
      <w:r>
        <w:t xml:space="preserve"> </w:t>
      </w:r>
      <w:r>
        <w:rPr>
          <w:rStyle w:val="VerbatimChar"/>
        </w:rPr>
        <w:t xml:space="preserve">{&amp;link Admin/AccessRights}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uthorisation/Help/TransparentAut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uthorisation/Help/TransparentAut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2026-09-09T20:03:14Z</dcterms:created>
  <dcterms:modified xsi:type="dcterms:W3CDTF">2026-09-09T20:03:14Z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