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ОПЦИИ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режимы-опции"/>
    <w:p>
      <w:pPr>
        <w:pStyle w:val="Heading1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 При значении интервала 0 автоматическое обновление параметров не производится.</w:t>
      </w:r>
    </w:p>
    <w:p>
      <w:pPr>
        <w:pStyle w:val="BodyText"/>
      </w:pPr>
      <w:r>
        <w:t xml:space="preserve">Режим аналогичен одноименному режиму АРМа Администратор-Серверный.</w:t>
      </w:r>
    </w:p>
    <w:p>
      <w:pPr>
        <w:pStyle w:val="CaptionedFigure"/>
      </w:pPr>
      <w:r>
        <w:drawing>
          <wp:inline>
            <wp:extent cx="2266950" cy="1343025"/>
            <wp:effectExtent b="0" l="0" r="0" t="0"/>
            <wp:docPr descr="Рисунок 1 - Режимы ОПЦИИ" title="Режимы ОПЦИИ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opcii_a_s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ОПЦИИ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ОПЦИИ</dc:title>
  <dc:creator/>
  <cp:keywords/>
  <dcterms:created xsi:type="dcterms:W3CDTF">2026-09-11T18:55:57Z</dcterms:created>
  <dcterms:modified xsi:type="dcterms:W3CDTF">2026-09-11T18:55:57Z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