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[I128-736] Документация по выгрузке событий безопасности в CSV-файл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fbe9f865fad65dff428da97f3c138f344d8e10f"/>
    <w:p>
      <w:pPr>
        <w:pStyle w:val="Heading1"/>
      </w:pPr>
      <w:r>
        <w:t xml:space="preserve">[I128-736] Документация по выгрузке событий безопасности в CSV-файл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AIS - АРМ Администратор информационной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После замечания по тексту 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2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2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2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2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2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2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2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2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3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3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3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соответствует-задача-i128-733"/>
    <w:p>
      <w:pPr>
        <w:pStyle w:val="Heading3"/>
      </w:pPr>
      <w:r>
        <w:t xml:space="preserve">1.1. 🔗 Соответствует задача: I128-733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[I128-733]</w:t>
        </w:r>
      </w:hyperlink>
      <w:r>
        <w:t xml:space="preserve"> </w:t>
      </w:r>
      <w:r>
        <w:t xml:space="preserve">Возможность вывода событий безопасности в csv-файл. 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I128-733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I128-733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[I128-736] Документация по выгрузке событий безопасности в CSV-файл</dc:title>
  <dc:creator/>
  <cp:keywords/>
  <dcterms:created xsi:type="dcterms:W3CDTF">2026-09-09T21:17:49Z</dcterms:created>
  <dcterms:modified xsi:type="dcterms:W3CDTF">2026-09-09T21:17:49Z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