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Глобальные константы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глобальные-константы"/>
    <w:p>
      <w:pPr>
        <w:pStyle w:val="Heading1"/>
      </w:pPr>
      <w:r>
        <w:t xml:space="preserve">Глобальные константы</w:t>
      </w:r>
    </w:p>
    <w:p>
      <w:pPr>
        <w:pStyle w:val="FirstParagraph"/>
      </w:pPr>
      <w:r>
        <w:t xml:space="preserve">Глобальные константы подключаются из файла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. Ниже перечислены базовые коды и константы путей, которые использовались в исходном описании ядра.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Константа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ER_OK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ER_POINTER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ER_NOTCONNECTED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APATH_SYS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APATH_DATAI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APATH_MST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APATH_IF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APATH_DB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</w:tr>
    </w:tbl>
    <w:p>
      <w:pPr>
        <w:pStyle w:val="BodyText"/>
      </w:pPr>
      <w:r>
        <w:t xml:space="preserve">Полный список констант см. в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; он включает коды ошибок, команды протокола ИРБИС, размеры пакетов и служебные разделители.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Глобальные константы</dc:title>
  <dc:creator/>
  <cp:keywords/>
  <dcterms:created xsi:type="dcterms:W3CDTF">2026-09-08T20:31:14Z</dcterms:created>
  <dcterms:modified xsi:type="dcterms:W3CDTF">2026-09-08T20:31:14Z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