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[I128-2173] Поддержка ИРБИС-ссылок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73-поддержка-ирбис-ссылок"/>
    <w:p>
      <w:pPr>
        <w:pStyle w:val="Heading1"/>
      </w:pPr>
      <w:r>
        <w:t xml:space="preserve">[I128-2173] Поддержка ИРБИС-ссылок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02:08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из АРМ Каталогизаторе они вели также в АРМ Каталогизатор, а из арм читатель в арм читатель. из книговыдачи в книговыдачу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08"/>
    <w:p>
      <w:pPr>
        <w:pStyle w:val="Heading3"/>
      </w:pPr>
      <w:r>
        <w:t xml:space="preserve">1.1. 🔗 Соответствует задача: I128-1508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[I128-1508]</w:t>
        </w:r>
      </w:hyperlink>
      <w:r>
        <w:t xml:space="preserve"> </w:t>
      </w:r>
      <w:r>
        <w:t xml:space="preserve">Поддержка ИРБИС-ссылок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[I128-2173] Поддержка ИРБИС-ссылок</dc:title>
  <dc:creator/>
  <cp:keywords/>
  <dcterms:created xsi:type="dcterms:W3CDTF">2026-09-08T11:25:03Z</dcterms:created>
  <dcterms:modified xsi:type="dcterms:W3CDTF">2026-09-08T11:25:03Z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