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режима вывода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режима-вывода"/>
    <w:p>
      <w:pPr>
        <w:pStyle w:val="Heading1"/>
      </w:pPr>
      <w:r>
        <w:t xml:space="preserve">Команды режима вывода</w:t>
      </w:r>
    </w:p>
    <w:p>
      <w:pPr>
        <w:pStyle w:val="FirstParagraph"/>
      </w:pPr>
      <w:r>
        <w:t xml:space="preserve">Система может выводить данные в трех различных режимах: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проверки.</w:t>
      </w:r>
      <w:r>
        <w:t xml:space="preserve"> </w:t>
      </w:r>
      <w:r>
        <w:t xml:space="preserve">В этом режиме поля выводятся в том виде, в каком они хранятся в записи. При этом система не обеспечивает никаких разделителей между полями или экземплярами повторяющихся полей. Пользователь должен обеспечить адекватное разделение полей с помощью команд размещения, литералов или повторяющихся групп. Режим обычно используется для вывода записей с целью проверки правильности введенных данных;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заголовка.</w:t>
      </w:r>
      <w:r>
        <w:t xml:space="preserve"> </w:t>
      </w:r>
      <w:r>
        <w:t xml:space="preserve">Этот режим обычно используется для печати заголовков при выводе указателей и таблиц. Все управляющие символы, введенные вместе с данными, такие как разделители терминов (&lt; и &gt;) игнорируются (за исключением указанных ниже случаев), а разделители подполей заменяются знаками пунктуации (см. ниже);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данных.</w:t>
      </w:r>
      <w:r>
        <w:t xml:space="preserve"> </w:t>
      </w:r>
      <w:r>
        <w:t xml:space="preserve">Этот режим похож на режим заголовка, но дополнительно после каждого поля автоматически ставится точка (.), за которой следуют два пробела (или просто два пробела, если поле заканчивается каким-либо знаком пунктуации). Отметим, однако, что эта автоматическая пунктуация подавляется, ес-ли за командой вывода поля следует суффикс-литерал.</w:t>
      </w:r>
    </w:p>
    <w:p>
      <w:pPr>
        <w:pStyle w:val="BodyText"/>
      </w:pPr>
      <w:r>
        <w:t xml:space="preserve">Когда система форматирует поле, содержащее подполе, в режимах заголовка или данных, она автоматически заменяет имеющиеся разделители подполей знаками пунктуации (при этом разделитель первого подполя, если он имеется, всегда игнорируется). Специальная комбинация символов</w:t>
      </w:r>
      <w:r>
        <w:t xml:space="preserve"> </w:t>
      </w:r>
      <w:r>
        <w:t xml:space="preserve">“&gt;&lt;”</w:t>
      </w:r>
      <w:r>
        <w:t xml:space="preserve"> </w:t>
      </w:r>
      <w:r>
        <w:t xml:space="preserve">заменяется на</w:t>
      </w:r>
      <w:r>
        <w:t xml:space="preserve"> </w:t>
      </w:r>
      <w:r>
        <w:t xml:space="preserve">“;”</w:t>
      </w:r>
      <w:r>
        <w:t xml:space="preserve"> </w:t>
      </w:r>
      <w:r>
        <w:t xml:space="preserve">(а отдельные символы “&lt;” и “&gt;” подавляются), обеспечивая простой способ форматирования полей, содержащих перечень ключевых фраз, заключенных в угловые скобки. Таблица стандартного замещения разделителей подполей выглядит так:</w:t>
      </w:r>
    </w:p>
    <w:p>
      <w:pPr>
        <w:pStyle w:val="Compact"/>
        <w:numPr>
          <w:ilvl w:val="0"/>
          <w:numId w:val="1001"/>
        </w:numPr>
      </w:pPr>
      <w:r>
        <w:t xml:space="preserve">^a замещается на</w:t>
      </w:r>
      <w:r>
        <w:t xml:space="preserve"> </w:t>
      </w:r>
      <w:r>
        <w:t xml:space="preserve">“;”</w:t>
      </w:r>
    </w:p>
    <w:p>
      <w:pPr>
        <w:pStyle w:val="Compact"/>
        <w:numPr>
          <w:ilvl w:val="0"/>
          <w:numId w:val="1001"/>
        </w:numPr>
      </w:pPr>
      <w:r>
        <w:t xml:space="preserve">от ^b до ^i замещается на</w:t>
      </w:r>
      <w:r>
        <w:t xml:space="preserve"> </w:t>
      </w:r>
      <w:r>
        <w:t xml:space="preserve">“,”</w:t>
      </w:r>
    </w:p>
    <w:p>
      <w:pPr>
        <w:pStyle w:val="Compact"/>
        <w:numPr>
          <w:ilvl w:val="0"/>
          <w:numId w:val="1001"/>
        </w:numPr>
      </w:pPr>
      <w:r>
        <w:t xml:space="preserve">все другие замещаются на</w:t>
      </w:r>
      <w:r>
        <w:t xml:space="preserve"> </w:t>
      </w:r>
      <w:r>
        <w:t xml:space="preserve">“.”</w:t>
      </w:r>
    </w:p>
    <w:p>
      <w:pPr>
        <w:pStyle w:val="FirstParagraph"/>
      </w:pPr>
      <w:r>
        <w:t xml:space="preserve">Команды режима вывода представляются в виде Mmc, где:</w:t>
      </w:r>
    </w:p>
    <w:p>
      <w:pPr>
        <w:pStyle w:val="BodyText"/>
      </w:pPr>
      <w:r>
        <w:t xml:space="preserve">М - признак команды режима вывода.</w:t>
      </w:r>
    </w:p>
    <w:p>
      <w:pPr>
        <w:pStyle w:val="BodyText"/>
      </w:pPr>
      <w:r>
        <w:t xml:space="preserve">m следующим образом определяет режим вывода:</w:t>
      </w:r>
      <w:r>
        <w:t xml:space="preserve"> </w:t>
      </w:r>
      <w:r>
        <w:t xml:space="preserve">* Р - режим проверки;</w:t>
      </w:r>
      <w:r>
        <w:t xml:space="preserve"> </w:t>
      </w:r>
      <w:r>
        <w:t xml:space="preserve">* H - режим заголовка;</w:t>
      </w:r>
      <w:r>
        <w:t xml:space="preserve"> </w:t>
      </w:r>
      <w:r>
        <w:t xml:space="preserve">* D - режим данных.</w:t>
      </w:r>
    </w:p>
    <w:p>
      <w:pPr>
        <w:pStyle w:val="BodyText"/>
      </w:pPr>
      <w:r>
        <w:t xml:space="preserve">с - определяет необходимость преобразования букв в прописные:</w:t>
      </w:r>
      <w:r>
        <w:t xml:space="preserve"> </w:t>
      </w:r>
      <w:r>
        <w:t xml:space="preserve">* U - буквы преобразуются в прописные;</w:t>
      </w:r>
      <w:r>
        <w:t xml:space="preserve"> </w:t>
      </w:r>
      <w:r>
        <w:t xml:space="preserve">* L - буквы преобразованию не подвергаются.</w:t>
      </w:r>
    </w:p>
    <w:p>
      <w:pPr>
        <w:pStyle w:val="BodyText"/>
      </w:pPr>
      <w:r>
        <w:t xml:space="preserve">Команда режима вывода может появляться в формате столько раз, сколько это нужно и действует до следующей команды режима вывода. По умолчанию система использует команду MPL. Ниже приведены примеры использования команды.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mpl,v200</w:t>
            </w:r>
          </w:p>
        </w:tc>
        <w:tc>
          <w:tcPr/>
          <w:p>
            <w:pPr>
              <w:pStyle w:val="Compact"/>
            </w:pPr>
            <w:r>
              <w:t xml:space="preserve">^aКонструктор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mhl,v200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mdu,v200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mpl,v210</w:t>
            </w:r>
          </w:p>
        </w:tc>
        <w:tc>
          <w:tcPr/>
          <w:p>
            <w:pPr>
              <w:pStyle w:val="Compact"/>
            </w:pPr>
            <w:r>
              <w:t xml:space="preserve">^cВоенное изд-во</w:t>
            </w:r>
            <w:r>
              <w:rPr>
                <w:vertAlign w:val="superscript"/>
              </w:rPr>
              <w:t xml:space="preserve">aМ.</w:t>
            </w:r>
            <w:r>
              <w:t xml:space="preserve">d1993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режима вывода</dc:title>
  <dc:creator/>
  <cp:keywords/>
  <dcterms:created xsi:type="dcterms:W3CDTF">2026-09-08T15:14:34Z</dcterms:created>
  <dcterms:modified xsi:type="dcterms:W3CDTF">2026-09-08T15:14:34Z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