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Каталог Distr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8" w:name="каталог-distr"/>
    <w:p>
      <w:pPr>
        <w:pStyle w:val="Heading1"/>
      </w:pPr>
      <w:r>
        <w:t xml:space="preserve">Каталог Distr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 </w:t>
      </w:r>
      <w:r>
        <w:t xml:space="preserve">хранит комплект поставки, который нужен для развертывания и обслуживания инфраструктуры ИРБИС64 рядом с ИРБИС 128.</w:t>
      </w:r>
    </w:p>
    <w:bookmarkStart w:id="9" w:name="состав-поставки"/>
    <w:p>
      <w:pPr>
        <w:pStyle w:val="Heading2"/>
      </w:pPr>
      <w:r>
        <w:t xml:space="preserve">1. Состав поставки</w:t>
      </w:r>
    </w:p>
    <w:p>
      <w:pPr>
        <w:pStyle w:val="FirstParagraph"/>
      </w:pPr>
      <w:r>
        <w:t xml:space="preserve">В каталоге находятся:</w:t>
      </w:r>
    </w:p>
    <w:p>
      <w:pPr>
        <w:pStyle w:val="Compact"/>
        <w:numPr>
          <w:ilvl w:val="0"/>
          <w:numId w:val="1001"/>
        </w:numPr>
      </w:pPr>
      <w:r>
        <w:t xml:space="preserve">серверные компоненты для Windows и Linux;</w:t>
      </w:r>
    </w:p>
    <w:p>
      <w:pPr>
        <w:pStyle w:val="Compact"/>
        <w:numPr>
          <w:ilvl w:val="0"/>
          <w:numId w:val="1001"/>
        </w:numPr>
      </w:pPr>
      <w:r>
        <w:t xml:space="preserve">вспомогательные утилиты ИРБИС64;</w:t>
      </w:r>
    </w:p>
    <w:p>
      <w:pPr>
        <w:pStyle w:val="Compact"/>
        <w:numPr>
          <w:ilvl w:val="0"/>
          <w:numId w:val="1001"/>
        </w:numPr>
      </w:pPr>
      <w:r>
        <w:t xml:space="preserve">средства преобразования RTF в HTML для Windows-компонентов: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, сценарий запуска для записи результата в файл и конфигурация HTML-конвертации;</w:t>
      </w:r>
    </w:p>
    <w:p>
      <w:pPr>
        <w:pStyle w:val="Compact"/>
        <w:numPr>
          <w:ilvl w:val="0"/>
          <w:numId w:val="1001"/>
        </w:numPr>
      </w:pPr>
      <w:r>
        <w:t xml:space="preserve">redistributable-пакеты и библиотеки;</w:t>
      </w:r>
    </w:p>
    <w:p>
      <w:pPr>
        <w:pStyle w:val="Compact"/>
        <w:numPr>
          <w:ilvl w:val="0"/>
          <w:numId w:val="1001"/>
        </w:numPr>
      </w:pPr>
      <w:r>
        <w:t xml:space="preserve">библиотеки, которые нужны Linux-АРМам для работы внутри AppImage;</w:t>
      </w:r>
    </w:p>
    <w:p>
      <w:pPr>
        <w:pStyle w:val="Compact"/>
        <w:numPr>
          <w:ilvl w:val="0"/>
          <w:numId w:val="1001"/>
        </w:numPr>
      </w:pPr>
      <w:r>
        <w:t xml:space="preserve">типовые базы, словари, форматы, рабочие листы, FST, MNU, INI и другие системные файлы;</w:t>
      </w:r>
    </w:p>
    <w:p>
      <w:pPr>
        <w:pStyle w:val="Compact"/>
        <w:numPr>
          <w:ilvl w:val="0"/>
          <w:numId w:val="1001"/>
        </w:numPr>
      </w:pPr>
      <w:r>
        <w:t xml:space="preserve">документация поставки ИРБИС64;</w:t>
      </w:r>
    </w:p>
    <w:p>
      <w:pPr>
        <w:pStyle w:val="Compact"/>
        <w:numPr>
          <w:ilvl w:val="0"/>
          <w:numId w:val="1001"/>
        </w:numPr>
      </w:pPr>
      <w:r>
        <w:t xml:space="preserve">заготовки и примеры баз данных.</w:t>
      </w:r>
    </w:p>
    <w:bookmarkEnd w:id="9"/>
    <w:bookmarkStart w:id="10" w:name="linux-appimage-и-проверка-орфографии"/>
    <w:p>
      <w:pPr>
        <w:pStyle w:val="Heading2"/>
      </w:pPr>
      <w:r>
        <w:t xml:space="preserve">2. Linux AppImage и проверка орфографии</w:t>
      </w:r>
    </w:p>
    <w:p>
      <w:pPr>
        <w:pStyle w:val="FirstParagraph"/>
      </w:pPr>
      <w:r>
        <w:t xml:space="preserve">В Linux-сборке АРМ Каталогизатор ИРБИС64 Турбо использует библиотеку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для морфологического расширения поисковых терминов и проверки доступности словарей. При запуске из AppImage приложение сначала пытается загрузить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из системы, а если системная библиотека недоступна, использует библиотеку, включенную в AppImage.</w:t>
      </w:r>
    </w:p>
    <w:p>
      <w:pPr>
        <w:pStyle w:val="BodyText"/>
      </w:pPr>
      <w:r>
        <w:t xml:space="preserve">Такой порядок нужен для рабочих мест, где системные пакеты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myspell</w:t>
      </w:r>
      <w:r>
        <w:t xml:space="preserve"> </w:t>
      </w:r>
      <w:r>
        <w:t xml:space="preserve">конфликтуют по зависимостям. Например, установка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в Astra Linux может потребовать удаления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, поэтому AppImage должен оставаться резервным источником библиотеки для каталогизатора.</w:t>
      </w:r>
    </w:p>
    <w:p>
      <w:pPr>
        <w:pStyle w:val="BodyText"/>
      </w:pPr>
      <w:r>
        <w:t xml:space="preserve">Если морфологический поиск сообщает, что библиотека или словарь недоступны, администратору нужно проверить системный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, состав используемого AppImage и настройки словарей. Не следует заменять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 </w:t>
      </w:r>
      <w:r>
        <w:t xml:space="preserve">пакетом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без проверки зависимостей конкретного дистрибутива Linux.</w:t>
      </w:r>
    </w:p>
    <w:bookmarkEnd w:id="10"/>
    <w:bookmarkStart w:id="11" w:name="типовые-задания-автоввода-бд-rdr"/>
    <w:p>
      <w:pPr>
        <w:pStyle w:val="Heading2"/>
      </w:pPr>
      <w:r>
        <w:t xml:space="preserve">3. Типовые задания автоввода БД RDR</w:t>
      </w:r>
    </w:p>
    <w:p>
      <w:pPr>
        <w:pStyle w:val="FirstParagraph"/>
      </w:pPr>
      <w:r>
        <w:t xml:space="preserve">В поставку входят задания</w:t>
      </w:r>
      <w:r>
        <w:t xml:space="preserve"> </w:t>
      </w:r>
      <w:r>
        <w:rPr>
          <w:rStyle w:val="VerbatimChar"/>
        </w:rPr>
        <w:t xml:space="preserve">datai/rdr/autoin.gbl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datai/rdr/autoin_light.gbl</w:t>
      </w:r>
      <w:r>
        <w:t xml:space="preserve">, а также эталонные копии в</w:t>
      </w:r>
      <w:r>
        <w:t xml:space="preserve"> </w:t>
      </w:r>
      <w:r>
        <w:rPr>
          <w:rStyle w:val="VerbatimChar"/>
        </w:rPr>
        <w:t xml:space="preserve">modules/Admin/CanonicalDb/RDR</w:t>
      </w:r>
      <w:r>
        <w:t xml:space="preserve">. Они используются как типовые сценарии автоматической обработки записей БД читателей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p>
      <w:pPr>
        <w:pStyle w:val="BodyText"/>
      </w:pPr>
      <w:r>
        <w:t xml:space="preserve">Обычный и облегченный варианты формируют служебное поле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в котором фиксируются дата обработки и пользователь. При создании или переносе читательской записи задание добавляет повторение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если для текущей даты и пользователя оно еще не найдено. В поставочном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дополнительно сохраняется технологический признак из</w:t>
      </w:r>
      <w:r>
        <w:t xml:space="preserve"> </w:t>
      </w:r>
      <w:r>
        <w:rPr>
          <w:rStyle w:val="VerbatimChar"/>
        </w:rPr>
        <w:t xml:space="preserve">IPRIVATE,ETR</w:t>
      </w:r>
      <w:r>
        <w:t xml:space="preserve">.</w:t>
      </w:r>
    </w:p>
    <w:p>
      <w:pPr>
        <w:pStyle w:val="BodyText"/>
      </w:pPr>
      <w:r>
        <w:t xml:space="preserve">Если для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выбран облегченный автоввод, подключать полный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только ради формирования</w:t>
      </w:r>
      <w:r>
        <w:t xml:space="preserve"> </w:t>
      </w:r>
      <w:r>
        <w:rPr>
          <w:rStyle w:val="VerbatimChar"/>
        </w:rPr>
        <w:t xml:space="preserve">907</w:t>
      </w:r>
      <w:r>
        <w:t xml:space="preserve"> </w:t>
      </w:r>
      <w:r>
        <w:t xml:space="preserve">не требуется: типовой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уже содержит эту обработку.</w:t>
      </w:r>
    </w:p>
    <w:bookmarkEnd w:id="11"/>
    <w:bookmarkStart w:id="12" w:name="комплект-datai-2025-d1d2"/>
    <w:p>
      <w:pPr>
        <w:pStyle w:val="Heading2"/>
      </w:pPr>
      <w:r>
        <w:t xml:space="preserve">4. Комплект datai 2025 D1/D2</w:t>
      </w:r>
    </w:p>
    <w:p>
      <w:pPr>
        <w:pStyle w:val="FirstParagraph"/>
      </w:pPr>
      <w:r>
        <w:t xml:space="preserve">Подкаталог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содержит технологическое обеспечение ИРБИС64 из поставок 2025 D1 и 2025 D2. Это не пользовательская документация, а набор файлов, который мастер установки использует как источник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В комплект входят: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.par</w:t>
      </w:r>
      <w:r>
        <w:t xml:space="preserve">-файлы и каталоги типовых баз, в том числе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help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базы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RDRV</w:t>
      </w:r>
      <w:r>
        <w:t xml:space="preserve">,</w:t>
      </w:r>
      <w:r>
        <w:t xml:space="preserve"> </w:t>
      </w:r>
      <w:r>
        <w:rPr>
          <w:rStyle w:val="VerbatimChar"/>
        </w:rPr>
        <w:t xml:space="preserve">RDRT</w:t>
      </w:r>
      <w:r>
        <w:t xml:space="preserve">,</w:t>
      </w:r>
      <w:r>
        <w:t xml:space="preserve"> </w:t>
      </w:r>
      <w:r>
        <w:rPr>
          <w:rStyle w:val="VerbatimChar"/>
        </w:rPr>
        <w:t xml:space="preserve">SK</w:t>
      </w:r>
      <w:r>
        <w:t xml:space="preserve">,</w:t>
      </w:r>
      <w:r>
        <w:t xml:space="preserve"> </w:t>
      </w:r>
      <w:r>
        <w:rPr>
          <w:rStyle w:val="VerbatimChar"/>
        </w:rPr>
        <w:t xml:space="preserve">VUZ</w:t>
      </w:r>
      <w:r>
        <w:t xml:space="preserve">,</w:t>
      </w:r>
      <w:r>
        <w:t xml:space="preserve"> </w:t>
      </w:r>
      <w:r>
        <w:rPr>
          <w:rStyle w:val="VerbatimChar"/>
        </w:rPr>
        <w:t xml:space="preserve">VKR</w:t>
      </w:r>
      <w:r>
        <w:t xml:space="preserve">,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 </w:t>
      </w:r>
      <w:r>
        <w:t xml:space="preserve">и служебные базы ИРБИС 128;</w:t>
      </w:r>
    </w:p>
    <w:p>
      <w:pPr>
        <w:pStyle w:val="Compact"/>
        <w:numPr>
          <w:ilvl w:val="0"/>
          <w:numId w:val="1002"/>
        </w:numPr>
      </w:pPr>
      <w:r>
        <w:t xml:space="preserve">авторитетные базы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рабочие листы, форматы, меню, FST, PFT, справочники, начальные записи, индексные файлы и другие служебные файлы, которые нужны серверу ИРБИС64 и приложениям ИРБИС 128;</w:t>
      </w:r>
    </w:p>
    <w:p>
      <w:pPr>
        <w:pStyle w:val="Compact"/>
        <w:numPr>
          <w:ilvl w:val="0"/>
          <w:numId w:val="1002"/>
        </w:numPr>
      </w:pPr>
      <w:r>
        <w:t xml:space="preserve">общие таблицы и настройки, используемые при создании и обслуживании баз.</w:t>
      </w:r>
    </w:p>
    <w:p>
      <w:pPr>
        <w:pStyle w:val="FirstParagraph"/>
      </w:pPr>
      <w:r>
        <w:t xml:space="preserve">При установке локального серверного окружения мастер копирует содержимое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в каталог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. После этого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получает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, указывающие на созданную серверную структуру.</w:t>
      </w:r>
    </w:p>
    <w:p>
      <w:pPr>
        <w:pStyle w:val="BodyText"/>
      </w:pPr>
      <w:r>
        <w:t xml:space="preserve">Значения по умолчанию для баз авторитетных файлов задаются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системных настройках</w:t>
      </w:r>
      <w:r>
        <w:t xml:space="preserve"> </w:t>
      </w:r>
      <w:r>
        <w:rPr>
          <w:rStyle w:val="VerbatimChar"/>
        </w:rPr>
        <w:t xml:space="preserve">$OPTIONS</w:t>
      </w:r>
      <w:r>
        <w:t xml:space="preserve">:</w:t>
      </w:r>
      <w:r>
        <w:t xml:space="preserve"> </w:t>
      </w:r>
      <w:r>
        <w:rPr>
          <w:rStyle w:val="VerbatimChar"/>
        </w:rPr>
        <w:t xml:space="preserve">DBATHRA = 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 = ATHRC</w:t>
      </w:r>
      <w:r>
        <w:t xml:space="preserve"> </w:t>
      </w:r>
      <w:r>
        <w:t xml:space="preserve">и остальные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. Эти значения должны соответствовать базам, которые присутствуют в скопированном комплекте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bookmarkEnd w:id="12"/>
    <w:bookmarkStart w:id="13" w:name="как-использовать"/>
    <w:p>
      <w:pPr>
        <w:pStyle w:val="Heading2"/>
      </w:pPr>
      <w:r>
        <w:t xml:space="preserve">5. Как использовать</w:t>
      </w:r>
    </w:p>
    <w:p>
      <w:pPr>
        <w:pStyle w:val="FirstParagraph"/>
      </w:pPr>
      <w:r>
        <w:rPr>
          <w:rStyle w:val="VerbatimChar"/>
        </w:rPr>
        <w:t xml:space="preserve">Distr</w:t>
      </w:r>
      <w:r>
        <w:t xml:space="preserve"> </w:t>
      </w:r>
      <w:r>
        <w:t xml:space="preserve">не является рабочим Help-разделом и не должен редактироваться как пользовательская справка ИРБИС 128. Файлы из него используются как источник для установки, обновления и восстановления типовых компонентов.</w:t>
      </w:r>
    </w:p>
    <w:p>
      <w:pPr>
        <w:pStyle w:val="BodyText"/>
      </w:pPr>
      <w:r>
        <w:t xml:space="preserve">При документировании пользовательских сценариев нужно ссылаться на актуальные Help-разделы ИРБИС 128. Документы внутри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остаются материалами поставки ИРБИС64 и используются для сверки технических деталей при необходимости.</w:t>
      </w:r>
    </w:p>
    <w:p>
      <w:pPr>
        <w:pStyle w:val="BodyText"/>
      </w:pPr>
      <w:r>
        <w:t xml:space="preserve">Для Windows-компонентов, которым требуется преобразование результата из RTF в HTML, актуальной утилитой является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. Ранее использовавшийся</w:t>
      </w:r>
      <w:r>
        <w:t xml:space="preserve"> </w:t>
      </w:r>
      <w:r>
        <w:rPr>
          <w:rStyle w:val="VerbatimChar"/>
        </w:rPr>
        <w:t xml:space="preserve">DocConverter</w:t>
      </w:r>
      <w:r>
        <w:t xml:space="preserve"> </w:t>
      </w:r>
      <w:r>
        <w:t xml:space="preserve">считается устаревшей внешней зависимостью и не должен требоваться для штатного преобразования RTF-документов в HTML. Сценарий запуска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 </w:t>
      </w:r>
      <w:r>
        <w:t xml:space="preserve">используется для сохранения результата, который сама утилита выводит в консоль, а файл конфигурации HTML-конвертации задает правила преобразования.</w:t>
      </w:r>
    </w:p>
    <w:bookmarkEnd w:id="13"/>
    <w:bookmarkStart w:id="14" w:name="ограничения"/>
    <w:p>
      <w:pPr>
        <w:pStyle w:val="Heading2"/>
      </w:pPr>
      <w:r>
        <w:t xml:space="preserve">6. Ограничения</w:t>
      </w:r>
    </w:p>
    <w:p>
      <w:pPr>
        <w:pStyle w:val="Compact"/>
        <w:numPr>
          <w:ilvl w:val="0"/>
          <w:numId w:val="1003"/>
        </w:numPr>
      </w:pPr>
      <w:r>
        <w:t xml:space="preserve">не переносить весь каталог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в Help автоматически;</w:t>
      </w:r>
    </w:p>
    <w:p>
      <w:pPr>
        <w:pStyle w:val="Compact"/>
        <w:numPr>
          <w:ilvl w:val="0"/>
          <w:numId w:val="1003"/>
        </w:numPr>
      </w:pPr>
      <w:r>
        <w:t xml:space="preserve">не включать бинарные файлы и большие документы в DOCX-дерево Help;</w:t>
      </w:r>
    </w:p>
    <w:p>
      <w:pPr>
        <w:pStyle w:val="Compact"/>
        <w:numPr>
          <w:ilvl w:val="0"/>
          <w:numId w:val="1003"/>
        </w:numPr>
      </w:pPr>
      <w:r>
        <w:t xml:space="preserve">при миграции отдельных документов сначала конвертировать их во временный Markdown и вычитывать вручную;</w:t>
      </w:r>
    </w:p>
    <w:p>
      <w:pPr>
        <w:pStyle w:val="Compact"/>
        <w:numPr>
          <w:ilvl w:val="0"/>
          <w:numId w:val="1003"/>
        </w:numPr>
      </w:pPr>
      <w:r>
        <w:t xml:space="preserve">не смешивать справку ИРБИС 128 с исходными инструкциями сторонней поставки без явной редакторской адаптации.</w:t>
      </w:r>
    </w:p>
    <w:bookmarkEnd w:id="14"/>
    <w:bookmarkStart w:id="19" w:name="rfid-uni-в-linux-армах-ирбис64"/>
    <w:p>
      <w:pPr>
        <w:pStyle w:val="Heading2"/>
      </w:pPr>
      <w:r>
        <w:t xml:space="preserve">RFID UNI в Linux-АРМах ИРБИС64</w:t>
      </w:r>
    </w:p>
    <w:p>
      <w:pPr>
        <w:pStyle w:val="FirstParagraph"/>
      </w:pPr>
      <w:r>
        <w:t xml:space="preserve">Универсальный RFID-протокол используется в Linux-версиях клиентских АРМов ИРБИС64, когда рабочее место общается с RFID-оборудованием через локальное или сетевое ПО поставщика. Для этого режима в клиентском INI задается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.</w:t>
      </w:r>
    </w:p>
    <w:p>
      <w:pPr>
        <w:pStyle w:val="BodyText"/>
      </w:pPr>
      <w:r>
        <w:t xml:space="preserve">Режим полезен для оборудования и промежуточного ПО ID Logic и Bibliotheca. Он позволяет Linux-клиентам работать с RFID на том же сервере ИРБИС64, где могут оставаться рабочие места Windows с собственными настройками.</w:t>
      </w:r>
    </w:p>
    <w:bookmarkStart w:id="15" w:name="где-включать"/>
    <w:p>
      <w:pPr>
        <w:pStyle w:val="Heading3"/>
      </w:pPr>
      <w:r>
        <w:t xml:space="preserve">1. Где включать</w:t>
      </w:r>
    </w:p>
    <w:p>
      <w:pPr>
        <w:pStyle w:val="FirstParagraph"/>
      </w:pPr>
      <w:r>
        <w:t xml:space="preserve">RFID включается в INI-файле соответствующего клиентского АРМа. Для АРМ «Книговыдача» типовой файл поставки называется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. В поставке ИРБИС 128 пример находится в</w:t>
      </w:r>
      <w:r>
        <w:t xml:space="preserve"> </w:t>
      </w:r>
      <w:r>
        <w:rPr>
          <w:rStyle w:val="VerbatimChar"/>
        </w:rPr>
        <w:t xml:space="preserve">modules/i128f/Distr/nix/server64-turbo/irbisb.ini</w:t>
      </w:r>
      <w:r>
        <w:t xml:space="preserve">; аналогичная заготовка для серверного модуля находится в</w:t>
      </w:r>
      <w:r>
        <w:t xml:space="preserve"> </w:t>
      </w:r>
      <w:r>
        <w:rPr>
          <w:rStyle w:val="VerbatimChar"/>
        </w:rPr>
        <w:t xml:space="preserve">modules/Server64/ARMsConfig/irbisb.ini</w:t>
      </w:r>
      <w:r>
        <w:t xml:space="preserve">.</w:t>
      </w:r>
    </w:p>
    <w:p>
      <w:pPr>
        <w:pStyle w:val="BodyText"/>
      </w:pPr>
      <w:r>
        <w:t xml:space="preserve">Минимальный фрагмент настройки:</w:t>
      </w:r>
    </w:p>
    <w:p>
      <w:pPr>
        <w:pStyle w:val="SourceCode"/>
      </w:pPr>
      <w:r>
        <w:rPr>
          <w:rStyle w:val="DataTypeTok"/>
        </w:rPr>
        <w:t xml:space="preserve">PRRFID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RFIDTYPE</w:t>
      </w:r>
      <w:r>
        <w:rPr>
          <w:rStyle w:val="OtherTok"/>
        </w:rPr>
        <w:t xml:space="preserve">=</w:t>
      </w:r>
      <w:r>
        <w:rPr>
          <w:rStyle w:val="DecValTok"/>
        </w:rPr>
        <w:t xml:space="preserve">4</w:t>
      </w:r>
      <w:r>
        <w:br/>
      </w:r>
      <w:r>
        <w:rPr>
          <w:rStyle w:val="DataTypeTok"/>
        </w:rPr>
        <w:t xml:space="preserve">RFID_UNI_INTERVAL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500</w:t>
      </w:r>
      <w:r>
        <w:br/>
      </w:r>
      <w:r>
        <w:rPr>
          <w:rStyle w:val="DataTypeTok"/>
        </w:rPr>
        <w:t xml:space="preserve">RFID_UNI_UID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RFID_UNI_ADDRESS</w:t>
      </w:r>
      <w:r>
        <w:rPr>
          <w:rStyle w:val="OtherTok"/>
        </w:rPr>
        <w:t xml:space="preserve">=</w:t>
      </w:r>
      <w:r>
        <w:rPr>
          <w:rStyle w:val="StringTok"/>
        </w:rPr>
        <w:t xml:space="preserve">127.0.0.1</w:t>
      </w:r>
      <w:r>
        <w:br/>
      </w:r>
      <w:r>
        <w:rPr>
          <w:rStyle w:val="DataTypeTok"/>
        </w:rPr>
        <w:t xml:space="preserve">RFID_UNI_PORT</w:t>
      </w:r>
      <w:r>
        <w:rPr>
          <w:rStyle w:val="OtherTok"/>
        </w:rPr>
        <w:t xml:space="preserve">=</w:t>
      </w:r>
      <w:r>
        <w:rPr>
          <w:rStyle w:val="DecValTok"/>
        </w:rPr>
        <w:t xml:space="preserve">6001</w:t>
      </w:r>
      <w:r>
        <w:br/>
      </w:r>
      <w:r>
        <w:rPr>
          <w:rStyle w:val="DataTypeTok"/>
        </w:rPr>
        <w:t xml:space="preserve">ConfirmMultiRFID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Если RFID-сервис поставщика запущен на том же рабочем месте, оставьте</w:t>
      </w:r>
      <w:r>
        <w:t xml:space="preserve"> </w:t>
      </w:r>
      <w:r>
        <w:rPr>
          <w:rStyle w:val="VerbatimChar"/>
        </w:rPr>
        <w:t xml:space="preserve">RFID_UNI_ADDRESS=127.0.0.1</w:t>
      </w:r>
      <w:r>
        <w:t xml:space="preserve">. Если сервис работает на другом доступном узле, укажите его адрес и порт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bookmarkEnd w:id="15"/>
    <w:bookmarkStart w:id="16" w:name="основные-параметры"/>
    <w:p>
      <w:pPr>
        <w:pStyle w:val="Heading3"/>
      </w:pPr>
      <w:r>
        <w:t xml:space="preserve">2. Основные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PRRFID</w:t>
            </w:r>
          </w:p>
        </w:tc>
        <w:tc>
          <w:tcPr/>
          <w:p>
            <w:pPr>
              <w:pStyle w:val="Compact"/>
            </w:pPr>
            <w:r>
              <w:t xml:space="preserve">Включает работу с RFID-метками в клиентском АРМе. Для включенного сценария задайте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RFIDTYPE</w:t>
            </w:r>
          </w:p>
        </w:tc>
        <w:tc>
          <w:tcPr/>
          <w:p>
            <w:pPr>
              <w:pStyle w:val="Compact"/>
            </w:pPr>
            <w:r>
              <w:t xml:space="preserve">Выбирает тип RFID-оборудования.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 </w:t>
            </w:r>
            <w:r>
              <w:t xml:space="preserve">включает универсальный RFID-протокол UNI.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RFID_UNI_INTERVAL</w:t>
            </w:r>
          </w:p>
        </w:tc>
        <w:tc>
          <w:tcPr/>
          <w:p>
            <w:pPr>
              <w:pStyle w:val="Compact"/>
            </w:pPr>
            <w:r>
              <w:t xml:space="preserve">Интервал обращения клиента к RFID-сервису в миллисекундах.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RFID_UNI_UID</w:t>
            </w:r>
          </w:p>
        </w:tc>
        <w:tc>
          <w:tcPr/>
          <w:p>
            <w:pPr>
              <w:pStyle w:val="Compact"/>
            </w:pPr>
            <w:r>
              <w:t xml:space="preserve">Режим передачи идентификатора метки в универсальном протоколе. Значение должно соответствовать настройке ПО RFID-поставщика.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RFID_UNI_ADDRESS</w:t>
            </w:r>
          </w:p>
        </w:tc>
        <w:tc>
          <w:tcPr/>
          <w:p>
            <w:pPr>
              <w:pStyle w:val="Compact"/>
            </w:pPr>
            <w:r>
              <w:t xml:space="preserve">Адрес RFID-сервиса, с которым общается клиентский АРМ.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RFID_UNI_PORT</w:t>
            </w:r>
          </w:p>
        </w:tc>
        <w:tc>
          <w:tcPr/>
          <w:p>
            <w:pPr>
              <w:pStyle w:val="Compact"/>
            </w:pPr>
            <w:r>
              <w:t xml:space="preserve">TCP-порт RFID-сервиса. В типовой поставке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6001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ConfirmMultiRFID</w:t>
            </w:r>
          </w:p>
        </w:tc>
        <w:tc>
          <w:tcPr/>
          <w:p>
            <w:pPr>
              <w:pStyle w:val="Compact"/>
            </w:pPr>
            <w:r>
              <w:t xml:space="preserve">Управляет подтверждением при чтении нескольких RFID-меток.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AUTOIN_RFID_BARCODE</w:t>
            </w:r>
          </w:p>
        </w:tc>
        <w:tc>
          <w:tcPr/>
          <w:p>
            <w:pPr>
              <w:pStyle w:val="Compact"/>
            </w:pPr>
            <w:r>
              <w:t xml:space="preserve">Определяет, должен ли авто ввод учитывать RFID-метку как штрихкод.</w:t>
            </w:r>
          </w:p>
        </w:tc>
      </w:tr>
    </w:tbl>
    <w:bookmarkEnd w:id="16"/>
    <w:bookmarkStart w:id="17" w:name="условия-на-рабочем-месте"/>
    <w:p>
      <w:pPr>
        <w:pStyle w:val="Heading3"/>
      </w:pPr>
      <w:r>
        <w:t xml:space="preserve">3. Условия на рабочем месте</w:t>
      </w:r>
    </w:p>
    <w:p>
      <w:pPr>
        <w:pStyle w:val="FirstParagraph"/>
      </w:pPr>
      <w:r>
        <w:t xml:space="preserve">На каждом Linux-рабочем месте должны быть установлены драйверы RFID-оборудования и запущено ПО, которое поддерживает UNI-обмен. Для ID Logic или Bibliotheca проверьте, что их сервис принимает соединения на адресе и порту, указанных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p>
      <w:pPr>
        <w:pStyle w:val="BodyText"/>
      </w:pPr>
      <w:r>
        <w:t xml:space="preserve">Если клиентский АРМ открыт на одном компьютере, а RFID-сервис запущен на другом,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 </w:t>
      </w:r>
      <w:r>
        <w:t xml:space="preserve">будет указывать не на тот узел. В этом случае задайте сетевой адрес компьютера с RFID-сервисом и убедитесь, что порт доступен с рабочего места библиотекаря.</w:t>
      </w:r>
    </w:p>
    <w:bookmarkEnd w:id="17"/>
    <w:bookmarkStart w:id="18" w:name="проверка-настройки"/>
    <w:p>
      <w:pPr>
        <w:pStyle w:val="Heading3"/>
      </w:pPr>
      <w:r>
        <w:t xml:space="preserve">4. Проверка настройки</w:t>
      </w:r>
    </w:p>
    <w:p>
      <w:pPr>
        <w:pStyle w:val="FirstParagraph"/>
      </w:pPr>
      <w:r>
        <w:t xml:space="preserve">После изменения INI перезапустите клиентский АРМ и проверьте чтение одной RFID-метки. Если метка не читается:</w:t>
      </w:r>
    </w:p>
    <w:p>
      <w:pPr>
        <w:pStyle w:val="Compact"/>
        <w:numPr>
          <w:ilvl w:val="0"/>
          <w:numId w:val="1004"/>
        </w:numPr>
      </w:pPr>
      <w:r>
        <w:t xml:space="preserve">проверьте, что</w:t>
      </w:r>
      <w:r>
        <w:t xml:space="preserve"> </w:t>
      </w:r>
      <w:r>
        <w:rPr>
          <w:rStyle w:val="VerbatimChar"/>
        </w:rPr>
        <w:t xml:space="preserve">PRRFID=1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проверьте адрес и порт RFID-сервиса;</w:t>
      </w:r>
    </w:p>
    <w:p>
      <w:pPr>
        <w:pStyle w:val="Compact"/>
        <w:numPr>
          <w:ilvl w:val="0"/>
          <w:numId w:val="1004"/>
        </w:numPr>
      </w:pPr>
      <w:r>
        <w:t xml:space="preserve">убедитесь, что ПО ID Logic или Bibliotheca запущено и видит оборудование;</w:t>
      </w:r>
    </w:p>
    <w:p>
      <w:pPr>
        <w:pStyle w:val="Compact"/>
        <w:numPr>
          <w:ilvl w:val="0"/>
          <w:numId w:val="1004"/>
        </w:numPr>
      </w:pPr>
      <w:r>
        <w:t xml:space="preserve">сравните режим UID в клиентском INI и в настройках RFID-сервиса;</w:t>
      </w:r>
    </w:p>
    <w:p>
      <w:pPr>
        <w:pStyle w:val="Compact"/>
        <w:numPr>
          <w:ilvl w:val="0"/>
          <w:numId w:val="1004"/>
        </w:numPr>
      </w:pPr>
      <w:r>
        <w:t xml:space="preserve">при нескольких метках проверьте поведение</w:t>
      </w:r>
      <w:r>
        <w:t xml:space="preserve"> </w:t>
      </w:r>
      <w:r>
        <w:rPr>
          <w:rStyle w:val="VerbatimChar"/>
        </w:rPr>
        <w:t xml:space="preserve">ConfirmMultiRFID</w:t>
      </w:r>
      <w:r>
        <w:t xml:space="preserve">.</w:t>
      </w:r>
    </w:p>
    <w:p>
      <w:pPr>
        <w:pStyle w:val="FirstParagraph"/>
      </w:pPr>
      <w:r>
        <w:t xml:space="preserve">Если Linux-клиент не получает ответ от RFID-сервиса, сначала проверьте доступность сервиса с этого рабочего места. Такая ошибка обычно связана с адресом, портом, локальным firewall или несовпадением протокольных настроек между АРМом и ПО RFID-поставщика.</w:t>
      </w:r>
    </w:p>
    <w:bookmarkEnd w:id="18"/>
    <w:bookmarkEnd w:id="19"/>
    <w:bookmarkStart w:id="22" w:name="порционная-рассылка-e-mail"/>
    <w:p>
      <w:pPr>
        <w:pStyle w:val="Heading2"/>
      </w:pPr>
      <w:r>
        <w:t xml:space="preserve">Порционная рассылка E-mail</w:t>
      </w:r>
    </w:p>
    <w:p>
      <w:pPr>
        <w:pStyle w:val="FirstParagraph"/>
      </w:pPr>
      <w:r>
        <w:t xml:space="preserve">Порционная рассылка E-mail используется для массовой отправки писем, когда весь набор сообщений нельзя безопасно отправлять одним непрерывным потоком. Это важно при работе через внешние SMTP-серверы и почтовых провайдеров, которые могут ограничивать или блокировать слишком большую рассылку.</w:t>
      </w:r>
    </w:p>
    <w:p>
      <w:pPr>
        <w:pStyle w:val="BodyText"/>
      </w:pPr>
      <w:r>
        <w:t xml:space="preserve">Технология применяется в сценариях, где система отправляет много однотипных писем:</w:t>
      </w:r>
    </w:p>
    <w:p>
      <w:pPr>
        <w:pStyle w:val="Compact"/>
        <w:numPr>
          <w:ilvl w:val="0"/>
          <w:numId w:val="1005"/>
        </w:numPr>
      </w:pPr>
      <w:r>
        <w:t xml:space="preserve">уведомления читателям из АРМ «Книговыдача»;</w:t>
      </w:r>
    </w:p>
    <w:p>
      <w:pPr>
        <w:pStyle w:val="Compact"/>
        <w:numPr>
          <w:ilvl w:val="0"/>
          <w:numId w:val="1005"/>
        </w:numPr>
      </w:pPr>
      <w:r>
        <w:t xml:space="preserve">рассылки пользователям ИРИ.</w:t>
      </w:r>
    </w:p>
    <w:bookmarkStart w:id="20" w:name="параметры-профиля"/>
    <w:p>
      <w:pPr>
        <w:pStyle w:val="Heading3"/>
      </w:pPr>
      <w:r>
        <w:t xml:space="preserve">1. Параметры профиля</w:t>
      </w:r>
    </w:p>
    <w:p>
      <w:pPr>
        <w:pStyle w:val="FirstParagraph"/>
      </w:pPr>
      <w:r>
        <w:t xml:space="preserve">Порционная отправка включается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профиля пользователя или рабочего INI-файла.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MailPortion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MailPortionInterval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</w:t>
      </w:r>
    </w:p>
    <w:p>
      <w:pPr>
        <w:pStyle w:val="FirstParagraph"/>
      </w:pPr>
      <w:r>
        <w:rPr>
          <w:rStyle w:val="VerbatimChar"/>
        </w:rPr>
        <w:t xml:space="preserve">MailPortion</w:t>
      </w:r>
      <w:r>
        <w:t xml:space="preserve"> </w:t>
      </w:r>
      <w:r>
        <w:t xml:space="preserve">задает размер одной порции сообщений: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порционная рассылка не используется, письма отправляются обычным способом;</w:t>
      </w:r>
    </w:p>
    <w:p>
      <w:pPr>
        <w:pStyle w:val="Compact"/>
        <w:numPr>
          <w:ilvl w:val="0"/>
          <w:numId w:val="1006"/>
        </w:numPr>
      </w:pPr>
      <w:r>
        <w:t xml:space="preserve">значение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- количество сообщений в одной порции.</w:t>
      </w:r>
    </w:p>
    <w:p>
      <w:pPr>
        <w:pStyle w:val="FirstParagraph"/>
      </w:pPr>
      <w:r>
        <w:rPr>
          <w:rStyle w:val="VerbatimChar"/>
        </w:rPr>
        <w:t xml:space="preserve">MailPortionInterval</w:t>
      </w:r>
      <w:r>
        <w:t xml:space="preserve"> </w:t>
      </w:r>
      <w:r>
        <w:t xml:space="preserve">задает задержку между порциями в минутах. Допустимый диапазон - от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60</w:t>
      </w:r>
      <w:r>
        <w:t xml:space="preserve">; значение по умолчанию -</w:t>
      </w:r>
      <w:r>
        <w:t xml:space="preserve"> </w:t>
      </w:r>
      <w:r>
        <w:rPr>
          <w:rStyle w:val="VerbatimChar"/>
        </w:rPr>
        <w:t xml:space="preserve">5</w:t>
      </w:r>
      <w:r>
        <w:t xml:space="preserve">.</w:t>
      </w:r>
    </w:p>
    <w:p>
      <w:pPr>
        <w:pStyle w:val="BodyText"/>
      </w:pPr>
      <w:r>
        <w:t xml:space="preserve">При выборе размера порции и интервала учитывайте ограничения почтового провайдера. Чем меньше порция и больше интервал, тем ниже нагрузка на SMTP-сервер, но тем дольше будет выполняться вся рассылка.</w:t>
      </w:r>
    </w:p>
    <w:bookmarkEnd w:id="20"/>
    <w:bookmarkStart w:id="21" w:name="как-выполняется-отправка"/>
    <w:p>
      <w:pPr>
        <w:pStyle w:val="Heading3"/>
      </w:pPr>
      <w:r>
        <w:t xml:space="preserve">2. Как выполняется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MailPortion</w:t>
      </w:r>
      <w:r>
        <w:t xml:space="preserve"> </w:t>
      </w:r>
      <w:r>
        <w:t xml:space="preserve">больше нуля, система разбивает подготовленный список писем на отдельные порции и запускает для отправки отдельную программу</w:t>
      </w:r>
      <w:r>
        <w:t xml:space="preserve"> </w:t>
      </w:r>
      <w:r>
        <w:rPr>
          <w:rStyle w:val="VerbatimChar"/>
        </w:rPr>
        <w:t xml:space="preserve">MailPortion.exe</w:t>
      </w:r>
      <w:r>
        <w:t xml:space="preserve">. После запуска рассылки оператор может продолжать работу в АРМ «Книговыдача»: отправка выполняется отдельно и не блокирует основной пользовательский интерфейс.</w:t>
      </w:r>
    </w:p>
    <w:p>
      <w:pPr>
        <w:pStyle w:val="BodyText"/>
      </w:pPr>
      <w:r>
        <w:t xml:space="preserve">В пользовательских сообщениях могут отображаться состояния: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Используется ПОРЦИОННАЯ рассылка E-mail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Запущена программа порционной рассылки E-mail. Можно продолжать работу в АРМе Книговыдача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Программа порционной рассылки E-mail завершила работу</w:t>
      </w:r>
      <w:r>
        <w:t xml:space="preserve">.</w:t>
      </w:r>
    </w:p>
    <w:p>
      <w:pPr>
        <w:pStyle w:val="FirstParagraph"/>
      </w:pPr>
      <w:r>
        <w:t xml:space="preserve">Если сообщения не отправляются, сначала проверьте обычные настройки E-mail: адрес отправителя, доступность SMTP-сервера, учетные данные, наличие E-mail у получателей и журналы ошибок отправки.</w:t>
      </w:r>
    </w:p>
    <w:bookmarkEnd w:id="21"/>
    <w:bookmarkEnd w:id="22"/>
    <w:bookmarkStart w:id="27" w:name="полнотекстовые-настройки-поставки"/>
    <w:p>
      <w:pPr>
        <w:pStyle w:val="Heading2"/>
      </w:pPr>
      <w:r>
        <w:t xml:space="preserve">Полнотекстовые настройки поставки</w:t>
      </w:r>
    </w:p>
    <w:p>
      <w:pPr>
        <w:pStyle w:val="FirstParagraph"/>
      </w:pPr>
      <w:r>
        <w:t xml:space="preserve">Этот раздел помогает сверять поставочные INI-файлы полнотекстового поиска при установке или обновлении дистрибутивов из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.</w:t>
      </w:r>
    </w:p>
    <w:bookmarkStart w:id="23" w:name="web-ирбис-php"/>
    <w:p>
      <w:pPr>
        <w:pStyle w:val="Heading3"/>
      </w:pPr>
      <w:r>
        <w:t xml:space="preserve">1. Web-ИРБИС PHP</w:t>
      </w:r>
    </w:p>
    <w:p>
      <w:pPr>
        <w:pStyle w:val="FirstParagraph"/>
      </w:pPr>
      <w:r>
        <w:t xml:space="preserve">Для поставки Web-ИРБИС PHP используется файл</w:t>
      </w:r>
      <w:r>
        <w:t xml:space="preserve"> </w:t>
      </w:r>
      <w:r>
        <w:rPr>
          <w:rStyle w:val="VerbatimChar"/>
        </w:rPr>
        <w:t xml:space="preserve">modules/i128f/Distr/nix/php_irbis64/irbis_server_ft_php.ini</w:t>
      </w:r>
      <w:r>
        <w:t xml:space="preserve">. В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должен быть включен режим морфологии: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передает в полнотекстовый поиск признак учета морфологических форм слов. Если значение отключено или отсутствует, поиск работает без этого признака; фактическое поведение зависит от используемого серверного компонента и провайдера данных.</w:t>
      </w:r>
    </w:p>
    <w:bookmarkEnd w:id="23"/>
    <w:bookmarkStart w:id="24" w:name="server64-turbo"/>
    <w:p>
      <w:pPr>
        <w:pStyle w:val="Heading3"/>
      </w:pPr>
      <w:r>
        <w:t xml:space="preserve">2. Server64-turbo</w:t>
      </w:r>
    </w:p>
    <w:p>
      <w:pPr>
        <w:pStyle w:val="FirstParagraph"/>
      </w:pPr>
      <w:r>
        <w:t xml:space="preserve">В поставке</w:t>
      </w:r>
      <w:r>
        <w:t xml:space="preserve"> </w:t>
      </w:r>
      <w:r>
        <w:rPr>
          <w:rStyle w:val="VerbatimChar"/>
        </w:rPr>
        <w:t xml:space="preserve">server64-turbo</w:t>
      </w:r>
      <w:r>
        <w:t xml:space="preserve"> </w:t>
      </w:r>
      <w:r>
        <w:t xml:space="preserve">часть полнотекстовых параметров находится в INI-файлах АРМ. Для АРМ Каталогизатор используются параметры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FULLTEXTMAXRESULT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FULLTEXTMorphology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FULLTEXTMAXRESULT</w:t>
      </w:r>
      <w:r>
        <w:t xml:space="preserve"> </w:t>
      </w:r>
      <w:r>
        <w:t xml:space="preserve">задает предельное число результатов полнотекстового поиска, а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включает передачу признака морфологии из клиентского INI.</w:t>
      </w:r>
    </w:p>
    <w:p>
      <w:pPr>
        <w:pStyle w:val="BodyText"/>
      </w:pPr>
      <w:r>
        <w:t xml:space="preserve">Для АРМ Комплектатор в поставке используется отдельная секция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PAGE0_BOOST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rPr>
          <w:rStyle w:val="VerbatimChar"/>
        </w:rPr>
        <w:t xml:space="preserve">PAGE0_BOOST=0</w:t>
      </w:r>
      <w:r>
        <w:t xml:space="preserve"> </w:t>
      </w:r>
      <w:r>
        <w:t xml:space="preserve">оставляет первую страницу без дополнительного весового усиления в настройках полнотекстовой выдачи.</w:t>
      </w:r>
    </w:p>
    <w:bookmarkEnd w:id="24"/>
    <w:bookmarkStart w:id="25" w:name="ограничение-релевантности"/>
    <w:p>
      <w:pPr>
        <w:pStyle w:val="Heading3"/>
      </w:pPr>
      <w:r>
        <w:t xml:space="preserve">3. Ограничение релевантности</w:t>
      </w:r>
    </w:p>
    <w:p>
      <w:pPr>
        <w:pStyle w:val="FirstParagraph"/>
      </w:pPr>
      <w:r>
        <w:t xml:space="preserve">В нативном провайдере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ограничение расчета релевантности задано константой</w:t>
      </w:r>
      <w:r>
        <w:t xml:space="preserve"> </w:t>
      </w:r>
      <w:r>
        <w:rPr>
          <w:rStyle w:val="VerbatimChar"/>
        </w:rPr>
        <w:t xml:space="preserve">XpftConst::MAX_RELEVATION_MEM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MAX_RELEVATION_MEM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100000</w:t>
      </w:r>
    </w:p>
    <w:p>
      <w:pPr>
        <w:pStyle w:val="FirstParagraph"/>
      </w:pPr>
      <w:r>
        <w:t xml:space="preserve">Если внешний дистрибутив или серверный компонент выносит этот предел в INI-файл, используйте значение</w:t>
      </w:r>
      <w:r>
        <w:t xml:space="preserve"> </w:t>
      </w:r>
      <w:r>
        <w:rPr>
          <w:rStyle w:val="VerbatimChar"/>
        </w:rPr>
        <w:t xml:space="preserve">100000</w:t>
      </w:r>
      <w:r>
        <w:t xml:space="preserve"> </w:t>
      </w:r>
      <w:r>
        <w:t xml:space="preserve">как базовое. В текущем PHP-коде ИРБИС 128 это значение закреплено в константе провайдера и не читается напрямую из поставочного INI.</w:t>
      </w:r>
    </w:p>
    <w:bookmarkEnd w:id="25"/>
    <w:bookmarkStart w:id="26" w:name="проверка-дистрибутива"/>
    <w:p>
      <w:pPr>
        <w:pStyle w:val="Heading3"/>
      </w:pPr>
      <w:r>
        <w:t xml:space="preserve">4. Проверка дистрибутива</w:t>
      </w:r>
    </w:p>
    <w:p>
      <w:pPr>
        <w:pStyle w:val="FirstParagraph"/>
      </w:pPr>
      <w:r>
        <w:t xml:space="preserve">При проверке нового дистрибутива полнотекстового поиска сверяйте:</w:t>
      </w:r>
    </w:p>
    <w:p>
      <w:pPr>
        <w:pStyle w:val="Compact"/>
        <w:numPr>
          <w:ilvl w:val="0"/>
          <w:numId w:val="1008"/>
        </w:numPr>
      </w:pPr>
      <w:r>
        <w:t xml:space="preserve">наличие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в нужном INI-файле;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для Web-ИРБИС PHP или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для INI АРМ;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PAGE0_BOOST=0</w:t>
      </w:r>
      <w:r>
        <w:t xml:space="preserve">, если проверяемый комплект содержит этот параметр полнотекстовой выдачи;</w:t>
      </w:r>
    </w:p>
    <w:p>
      <w:pPr>
        <w:pStyle w:val="Compact"/>
        <w:numPr>
          <w:ilvl w:val="0"/>
          <w:numId w:val="1008"/>
        </w:numPr>
      </w:pPr>
      <w:r>
        <w:t xml:space="preserve">соответствие предела релевантности значению</w:t>
      </w:r>
      <w:r>
        <w:t xml:space="preserve"> </w:t>
      </w:r>
      <w:r>
        <w:rPr>
          <w:rStyle w:val="VerbatimChar"/>
        </w:rPr>
        <w:t xml:space="preserve">MAX_RELEVATION_MEM=100000</w:t>
      </w:r>
      <w:r>
        <w:t xml:space="preserve">, если параметр вынесен в конфигурацию.</w:t>
      </w:r>
    </w:p>
    <w:p>
      <w:pPr>
        <w:pStyle w:val="FirstParagraph"/>
      </w:pPr>
      <w:r>
        <w:t xml:space="preserve">Не переносите параметры между INI-файлами механически: каждый из них читается своим серверным компонентом, АРМ или провайдером данных.</w:t>
      </w:r>
    </w:p>
    <w:bookmarkEnd w:id="26"/>
    <w:bookmarkEnd w:id="27"/>
    <w:bookmarkEnd w:id="2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Каталог Distr</dc:title>
  <dc:creator/>
  <cp:keywords/>
  <dcterms:created xsi:type="dcterms:W3CDTF">2026-09-04T14:15:17Z</dcterms:created>
  <dcterms:modified xsi:type="dcterms:W3CDTF">2026-09-04T14:15:17Z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