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[I128-2275]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5-интеграция-с-pandoc"/>
    <w:p>
      <w:pPr>
        <w:pStyle w:val="Heading1"/>
      </w:pPr>
      <w:r>
        <w:t xml:space="preserve">[I128-2275]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01:45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FT/AdminGuide/GeneralConfig</w:t>
      </w:r>
      <w:r>
        <w:t xml:space="preserve"> </w:t>
      </w:r>
      <w:r>
        <w:t xml:space="preserve">— расширен раздел</w:t>
      </w:r>
      <w:r>
        <w:t xml:space="preserve"> </w:t>
      </w:r>
      <w:r>
        <w:rPr>
          <w:rStyle w:val="VerbatimChar"/>
        </w:rPr>
        <w:t xml:space="preserve">Интеграция с Pandoc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FT/AdminGuide/Maintenance</w:t>
      </w:r>
      <w:r>
        <w:t xml:space="preserve"> </w:t>
      </w:r>
      <w:r>
        <w:t xml:space="preserve">— расширен блок</w:t>
      </w:r>
      <w:r>
        <w:t xml:space="preserve"> </w:t>
      </w:r>
      <w:r>
        <w:rPr>
          <w:rStyle w:val="VerbatimChar"/>
        </w:rPr>
        <w:t xml:space="preserve">Экспорт документации в DOCX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руководстве администратора FT описана интеграция с Pandoc: назначение действий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MarkdownToDocx</w:t>
      </w:r>
      <w:r>
        <w:t xml:space="preserve">,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, использование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, расположение исполняемого файла Pandoc для Windows и Linux, а также единая структура каталога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для поставляемых внешних утилит.</w:t>
      </w:r>
    </w:p>
    <w:p>
      <w:pPr>
        <w:pStyle w:val="BodyText"/>
      </w:pPr>
      <w:r>
        <w:t xml:space="preserve">Дополнительно описаны русскоязычные диагностические сообщения, которые помогают администратору отличить отсутствие Pandoc, недоступный входной файл и ошибку самой конвертации.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73"/>
    <w:p>
      <w:pPr>
        <w:pStyle w:val="Heading3"/>
      </w:pPr>
      <w:r>
        <w:t xml:space="preserve">1.1. 🔗 Соответствует задача: I128-2273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[I128-2273]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[I128-2275] Интеграция с Pandoc</dc:title>
  <dc:creator/>
  <cp:keywords/>
  <dcterms:created xsi:type="dcterms:W3CDTF">2026-09-06T11:19:46Z</dcterms:created>
  <dcterms:modified xsi:type="dcterms:W3CDTF">2026-09-06T11:19:46Z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