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ОПЦИИ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жимы-опции"/>
    <w:p>
      <w:pPr>
        <w:pStyle w:val="Heading1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 При значении интервала 0 автоматическое обновление параметров не производится.</w:t>
      </w:r>
    </w:p>
    <w:p>
      <w:pPr>
        <w:pStyle w:val="BodyText"/>
      </w:pPr>
      <w:r>
        <w:t xml:space="preserve">Режим аналогичен одноименному режиму АРМа Администратор-Серверный.</w:t>
      </w:r>
    </w:p>
    <w:p>
      <w:pPr>
        <w:pStyle w:val="CaptionedFigure"/>
      </w:pPr>
      <w:r>
        <w:drawing>
          <wp:inline>
            <wp:extent cx="2266950" cy="1343025"/>
            <wp:effectExtent b="0" l="0" r="0" t="0"/>
            <wp:docPr descr="Рисунок 1 - Режимы ОПЦИИ" title="Режимы ОПЦИИ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opcii_a_s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ОПЦИИ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ОПЦИИ</dc:title>
  <dc:creator/>
  <cp:keywords/>
  <dcterms:created xsi:type="dcterms:W3CDTF">2026-09-09T12:41:23Z</dcterms:created>
  <dcterms:modified xsi:type="dcterms:W3CDTF">2026-09-09T12:41:23Z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