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Битрикс24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битрикс24"/>
    <w:p>
      <w:pPr>
        <w:pStyle w:val="Heading1"/>
      </w:pPr>
      <w:r>
        <w:t xml:space="preserve">Битрикс24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предоставляет внешний JSON-RPC интерфейс к функциям</w:t>
      </w:r>
      <w:r>
        <w:t xml:space="preserve"> </w:t>
      </w:r>
      <w:r>
        <w:t xml:space="preserve">ИРБИС 128, которые нужны при интеграции с Битрикс24 и другими внешними</w:t>
      </w:r>
      <w:r>
        <w:t xml:space="preserve"> </w:t>
      </w:r>
      <w:r>
        <w:t xml:space="preserve">системами: учетные записи читателей, формуляр, заказы, продление выдачи,</w:t>
      </w:r>
      <w:r>
        <w:t xml:space="preserve"> </w:t>
      </w:r>
      <w:r>
        <w:t xml:space="preserve">сведения об экземплярах, поиск и форматирование записей.</w:t>
      </w:r>
    </w:p>
    <w:bookmarkStart w:id="13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3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3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3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3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bookmarkStart w:id="17" w:name="endpoint-и-формат-обмена"/>
    <w:p>
      <w:pPr>
        <w:pStyle w:val="Heading2"/>
      </w:pPr>
      <w:r>
        <w:t xml:space="preserve">Endpoint и формат обмена</w:t>
      </w:r>
    </w:p>
    <w:p>
      <w:pPr>
        <w:pStyle w:val="FirstParagraph"/>
      </w:pPr>
      <w:r>
        <w:t xml:space="preserve">JSON-RPC сервер модуля доступен через входную точку:</w:t>
      </w:r>
    </w:p>
    <w:p>
      <w:pPr>
        <w:pStyle w:val="SourceCode"/>
      </w:pPr>
      <w:r>
        <w:rPr>
          <w:rStyle w:val="VerbatimChar"/>
        </w:rPr>
        <w:t xml:space="preserve">POST /JSONRPC.php?i128Module=Bitrix24</w:t>
      </w:r>
    </w:p>
    <w:p>
      <w:pPr>
        <w:pStyle w:val="FirstParagraph"/>
      </w:pPr>
      <w:r>
        <w:t xml:space="preserve">Тело запроса должно быть JSON-RPC 2.0 объектом или массивом объектов для</w:t>
      </w:r>
      <w:r>
        <w:t xml:space="preserve"> </w:t>
      </w:r>
      <w:r>
        <w:t xml:space="preserve">batch-вызова. Для обычного вызова указываются поля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</w:t>
      </w:r>
      <w:r>
        <w:t xml:space="preserve"> </w:t>
      </w:r>
      <w:r>
        <w:rPr>
          <w:rStyle w:val="VerbatimChar"/>
        </w:rPr>
        <w:t xml:space="preserve">method</w:t>
      </w:r>
      <w:r>
        <w:t xml:space="preserve">,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содержит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 </w:t>
      </w:r>
      <w:r>
        <w:t xml:space="preserve">при успешном выполнении или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 </w:t>
      </w:r>
      <w:r>
        <w:t xml:space="preserve">при ошибке.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"result"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bookmarkStart w:id="14" w:name="правила-вызова"/>
    <w:p>
      <w:pPr>
        <w:pStyle w:val="Heading3"/>
      </w:pPr>
      <w:r>
        <w:t xml:space="preserve">1. Правила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Правило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 HTTP</w:t>
            </w:r>
          </w:p>
        </w:tc>
        <w:tc>
          <w:tcPr/>
          <w:p>
            <w:pPr>
              <w:pStyle w:val="Compact"/>
            </w:pPr>
            <w:r>
              <w:t xml:space="preserve">Сервер принимает только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 </w:t>
            </w:r>
            <w:r>
              <w:t xml:space="preserve">для обычных JSON-RPC вызовов.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тела</w:t>
            </w:r>
          </w:p>
        </w:tc>
        <w:tc>
          <w:tcPr/>
          <w:p>
            <w:pPr>
              <w:pStyle w:val="Compact"/>
            </w:pPr>
            <w:r>
              <w:t xml:space="preserve">JSON-объект JSON-RPC 2.0 или массив объектов для batch-вызова.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Если поле</w:t>
            </w:r>
            <w:r>
              <w:t xml:space="preserve"> </w:t>
            </w:r>
            <w:r>
              <w:rPr>
                <w:rStyle w:val="VerbatimChar"/>
              </w:rPr>
              <w:t xml:space="preserve">id</w:t>
            </w:r>
            <w:r>
              <w:t xml:space="preserve"> </w:t>
            </w:r>
            <w:r>
              <w:t xml:space="preserve">не передано, вызов считается notification и ответ не возвращается.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можно передавать позиционным массивом или объектом с именованными параметрами.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Именованные параметры</w:t>
            </w:r>
          </w:p>
        </w:tc>
        <w:tc>
          <w:tcPr/>
          <w:p>
            <w:pPr>
              <w:pStyle w:val="Compact"/>
            </w:pPr>
            <w:r>
              <w:t xml:space="preserve">При объекте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значения сопоставляются с именами параметров PHP-метода.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Batch</w:t>
            </w:r>
          </w:p>
        </w:tc>
        <w:tc>
          <w:tcPr/>
          <w:p>
            <w:pPr>
              <w:pStyle w:val="Compact"/>
            </w:pPr>
            <w:r>
              <w:t xml:space="preserve">Если тело запроса - массив, сервер выполнит каждый вызов и вернет массив ответов.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SMD</w:t>
            </w:r>
          </w:p>
        </w:tc>
        <w:tc>
          <w:tcPr/>
          <w:p>
            <w:pPr>
              <w:pStyle w:val="Compact"/>
            </w:pPr>
            <w:r>
              <w:t xml:space="preserve">Запрос с параметром</w:t>
            </w:r>
            <w:r>
              <w:t xml:space="preserve"> </w:t>
            </w:r>
            <w:r>
              <w:rPr>
                <w:rStyle w:val="VerbatimChar"/>
              </w:rPr>
              <w:t xml:space="preserve">smd</w:t>
            </w:r>
            <w:r>
              <w:t xml:space="preserve"> </w:t>
            </w:r>
            <w:r>
              <w:t xml:space="preserve">возвращает service map, построенный по публичным методам сервера.</w:t>
            </w:r>
          </w:p>
        </w:tc>
      </w:tr>
    </w:tbl>
    <w:bookmarkEnd w:id="14"/>
    <w:bookmarkStart w:id="15" w:name="ошибки-json-rpc"/>
    <w:p>
      <w:pPr>
        <w:pStyle w:val="Heading3"/>
      </w:pPr>
      <w:r>
        <w:t xml:space="preserve">2. Ошибки JSON-RPC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-32700</w:t>
            </w:r>
          </w:p>
        </w:tc>
        <w:tc>
          <w:tcPr/>
          <w:p>
            <w:pPr>
              <w:pStyle w:val="Compact"/>
            </w:pPr>
            <w:r>
              <w:t xml:space="preserve">Ошибка разбора JSON.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-32600</w:t>
            </w:r>
          </w:p>
        </w:tc>
        <w:tc>
          <w:tcPr/>
          <w:p>
            <w:pPr>
              <w:pStyle w:val="Compact"/>
            </w:pPr>
            <w:r>
              <w:t xml:space="preserve">Некорректный запрос: например, не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, нет</w:t>
            </w:r>
            <w:r>
              <w:t xml:space="preserve"> </w:t>
            </w:r>
            <w:r>
              <w:rPr>
                <w:rStyle w:val="VerbatimChar"/>
              </w:rPr>
              <w:t xml:space="preserve">jsonrpc: "2.0"</w:t>
            </w:r>
            <w:r>
              <w:t xml:space="preserve"> </w:t>
            </w:r>
            <w:r>
              <w:t xml:space="preserve">или тело пустое.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-32601</w:t>
            </w:r>
          </w:p>
        </w:tc>
        <w:tc>
          <w:tcPr/>
          <w:p>
            <w:pPr>
              <w:pStyle w:val="Compact"/>
            </w:pPr>
            <w:r>
              <w:t xml:space="preserve">Метод не найден или метод скрыт сервером.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-32602</w:t>
            </w:r>
          </w:p>
        </w:tc>
        <w:tc>
          <w:tcPr/>
          <w:p>
            <w:pPr>
              <w:pStyle w:val="Compact"/>
            </w:pPr>
            <w:r>
              <w:t xml:space="preserve">Некорректные параметры: не хватает обязательного параметра или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имеет неподдерживаемый тип.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-32603</w:t>
            </w:r>
          </w:p>
        </w:tc>
        <w:tc>
          <w:tcPr/>
          <w:p>
            <w:pPr>
              <w:pStyle w:val="Compact"/>
            </w:pPr>
            <w:r>
              <w:t xml:space="preserve">Внутренняя ошибка.</w:t>
            </w:r>
          </w:p>
        </w:tc>
      </w:tr>
    </w:tbl>
    <w:p>
      <w:pPr>
        <w:pStyle w:val="BodyText"/>
      </w:pPr>
      <w:r>
        <w:t xml:space="preserve">Ошибки бизнес-операций возвращаются тем модулем, который выполняет операцию: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Например, заказ не будет</w:t>
      </w:r>
      <w:r>
        <w:t xml:space="preserve"> </w:t>
      </w:r>
      <w:r>
        <w:t xml:space="preserve">создан, если не найдена запись пользователя, БД каталога не открылась или</w:t>
      </w:r>
      <w:r>
        <w:t xml:space="preserve"> </w:t>
      </w:r>
      <w:r>
        <w:t xml:space="preserve">шифр записи не найден.</w:t>
      </w:r>
    </w:p>
    <w:bookmarkEnd w:id="15"/>
    <w:bookmarkStart w:id="16" w:name="аутентификация-и-доступ"/>
    <w:p>
      <w:pPr>
        <w:pStyle w:val="Heading3"/>
      </w:pPr>
      <w:r>
        <w:t xml:space="preserve">3. Аутентификация и доступ</w:t>
      </w:r>
    </w:p>
    <w:p>
      <w:pPr>
        <w:pStyle w:val="FirstParagraph"/>
      </w:pPr>
      <w:r>
        <w:t xml:space="preserve">Входная точка проходит через обычный запуск ИРБИС 128. Конкретные правила</w:t>
      </w:r>
      <w:r>
        <w:t xml:space="preserve"> </w:t>
      </w:r>
      <w:r>
        <w:t xml:space="preserve">доступа зависят от настроек сайта, авторизации, сессии, веб-сервера и</w:t>
      </w:r>
      <w:r>
        <w:t xml:space="preserve"> </w:t>
      </w:r>
      <w:r>
        <w:t xml:space="preserve">интеграционного контура. Внешнему клиенту нужно использовать тот URL и способ</w:t>
      </w:r>
      <w:r>
        <w:t xml:space="preserve"> </w:t>
      </w:r>
      <w:r>
        <w:t xml:space="preserve">доступа, который выдан администратором системы.</w:t>
      </w:r>
    </w:p>
    <w:bookmarkEnd w:id="16"/>
    <w:bookmarkEnd w:id="17"/>
    <w:bookmarkStart w:id="21" w:name="методы-json-rpc"/>
    <w:p>
      <w:pPr>
        <w:pStyle w:val="Heading2"/>
      </w:pPr>
      <w:r>
        <w:t xml:space="preserve">Методы JSON-RPC</w:t>
      </w:r>
    </w:p>
    <w:p>
      <w:pPr>
        <w:pStyle w:val="FirstParagraph"/>
      </w:pPr>
      <w:r>
        <w:t xml:space="preserve">Методы перечислены по фактическому классу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. Все</w:t>
      </w:r>
      <w:r>
        <w:t xml:space="preserve"> </w:t>
      </w:r>
      <w:r>
        <w:t xml:space="preserve">названия методов чувствительны к регистру, потому что вызываются как публичные</w:t>
      </w:r>
      <w:r>
        <w:t xml:space="preserve"> </w:t>
      </w:r>
      <w:r>
        <w:t xml:space="preserve">PHP-методы серверного объекта.</w:t>
      </w:r>
    </w:p>
    <w:bookmarkStart w:id="18" w:name="читатели"/>
    <w:p>
      <w:pPr>
        <w:pStyle w:val="Heading3"/>
      </w:pPr>
      <w:r>
        <w:t xml:space="preserve">1. Читатели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читателя в виде массива полей. Если запись не найдена и включено создание через LDAP, модуль может создать запись из LDAP-данных.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Создает запись читателя из массива полей, при указанном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 </w:t>
            </w:r>
            <w:r>
              <w:t xml:space="preserve">записывает его в поле</w:t>
            </w:r>
            <w:r>
              <w:t xml:space="preserve"> </w:t>
            </w:r>
            <w:r>
              <w:rPr>
                <w:rStyle w:val="VerbatimChar"/>
              </w:rPr>
              <w:t xml:space="preserve">30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UpdateUser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Находит читателя по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, заменяет содержимое записи переданным массивом полей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</w:p>
        </w:tc>
        <w:tc>
          <w:tcPr/>
          <w:p>
            <w:pPr>
              <w:pStyle w:val="Compact"/>
            </w:pPr>
            <w:r>
              <w:t xml:space="preserve">Удаляет запись читателя. Возвращает результат удаления БД или код ошибки, если БД/читатель не найдены.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текущих выдач из формуляра читателя.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user_rec_array</w:t>
      </w:r>
      <w:r>
        <w:t xml:space="preserve"> </w:t>
      </w:r>
      <w:r>
        <w:t xml:space="preserve">передается в формате массива полей записи ИРБИС 128. При</w:t>
      </w:r>
      <w:r>
        <w:t xml:space="preserve"> </w:t>
      </w:r>
      <w:r>
        <w:t xml:space="preserve">передаче JSON-объекта сервер преобразует его в массив перед сохранением.</w:t>
      </w:r>
    </w:p>
    <w:p>
      <w:pPr>
        <w:pStyle w:val="BodyText"/>
      </w:pPr>
      <w:r>
        <w:t xml:space="preserve">Строки формуляра 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need_return_date</w:t>
            </w:r>
          </w:p>
        </w:tc>
        <w:tc>
          <w:tcPr/>
          <w:p>
            <w:pPr>
              <w:pStyle w:val="Compact"/>
            </w:pPr>
            <w:r>
              <w:t xml:space="preserve">Плановая дата возврата.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</w:tbl>
    <w:bookmarkEnd w:id="18"/>
    <w:bookmarkStart w:id="19" w:name="заказы-и-продление"/>
    <w:p>
      <w:pPr>
        <w:pStyle w:val="Heading3"/>
      </w:pPr>
      <w:r>
        <w:t xml:space="preserve">2. Заказы и продление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place_of_issue = ""</w:t>
            </w:r>
          </w:p>
        </w:tc>
        <w:tc>
          <w:tcPr/>
          <w:p>
            <w:pPr>
              <w:pStyle w:val="Compact"/>
            </w:pPr>
            <w:r>
              <w:t xml:space="preserve">Создает заказ на запись каталога, найденную в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 </w:t>
            </w:r>
            <w:r>
              <w:t xml:space="preserve">по шифру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Находит заказ пользователя по шифру записи, помечает его как удаленный читателем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GetOrders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заказов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barcode_rfid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inventory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Продлевает срок возврата выданного экземпляра и возвращает дату, рассчитанную модулем</w:t>
            </w:r>
            <w:r>
              <w:t xml:space="preserve"> </w:t>
            </w:r>
            <w:r>
              <w:rPr>
                <w:rStyle w:val="VerbatimChar"/>
              </w:rPr>
              <w:t xml:space="preserve">Bookland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new_return_date</w:t>
      </w:r>
      <w:r>
        <w:t xml:space="preserve"> </w:t>
      </w:r>
      <w:r>
        <w:t xml:space="preserve">передается в формате</w:t>
      </w:r>
      <w:r>
        <w:t xml:space="preserve"> </w:t>
      </w:r>
      <w:r>
        <w:rPr>
          <w:rStyle w:val="VerbatimChar"/>
        </w:rPr>
        <w:t xml:space="preserve">ГГГГММДД</w:t>
      </w:r>
      <w:r>
        <w:t xml:space="preserve">. Экземпляр для продления</w:t>
      </w:r>
      <w:r>
        <w:t xml:space="preserve"> </w:t>
      </w:r>
      <w:r>
        <w:t xml:space="preserve">определяется по</w:t>
      </w:r>
      <w:r>
        <w:t xml:space="preserve"> </w:t>
      </w:r>
      <w:r>
        <w:rPr>
          <w:rStyle w:val="VerbatimChar"/>
        </w:rPr>
        <w:t xml:space="preserve">barcode_rfid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inventory</w:t>
      </w:r>
      <w:r>
        <w:t xml:space="preserve">.</w:t>
      </w:r>
    </w:p>
    <w:p>
      <w:pPr>
        <w:pStyle w:val="BodyText"/>
      </w:pPr>
      <w:r>
        <w:t xml:space="preserve">Строки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 </w:t>
      </w:r>
      <w:r>
        <w:t xml:space="preserve">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записи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bibliography</w:t>
            </w:r>
          </w:p>
        </w:tc>
        <w:tc>
          <w:tcPr/>
          <w:p>
            <w:pPr>
              <w:pStyle w:val="Compact"/>
            </w:pPr>
            <w:r>
              <w:t xml:space="preserve">Библиографическое описание из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order_date</w:t>
            </w:r>
          </w:p>
        </w:tc>
        <w:tc>
          <w:tcPr/>
          <w:p>
            <w:pPr>
              <w:pStyle w:val="Compact"/>
            </w:pPr>
            <w:r>
              <w:t xml:space="preserve">Дата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reservation_date</w:t>
            </w:r>
          </w:p>
        </w:tc>
        <w:tc>
          <w:tcPr/>
          <w:p>
            <w:pPr>
              <w:pStyle w:val="Compact"/>
            </w:pPr>
            <w:r>
              <w:t xml:space="preserve">Дата передачи в бронь.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refuse_date</w:t>
            </w:r>
          </w:p>
        </w:tc>
        <w:tc>
          <w:tcPr/>
          <w:p>
            <w:pPr>
              <w:pStyle w:val="Compact"/>
            </w:pPr>
            <w:r>
              <w:t xml:space="preserve">Дата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refuse_reason</w:t>
            </w:r>
          </w:p>
        </w:tc>
        <w:tc>
          <w:tcPr/>
          <w:p>
            <w:pPr>
              <w:pStyle w:val="Compact"/>
            </w:pPr>
            <w:r>
              <w:t xml:space="preserve">Причина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is_edd</w:t>
            </w:r>
          </w:p>
        </w:tc>
        <w:tc>
          <w:tcPr/>
          <w:p>
            <w:pPr>
              <w:pStyle w:val="Compact"/>
            </w:pPr>
            <w:r>
              <w:t xml:space="preserve">Признак ЭДД.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edd_url</w:t>
            </w:r>
          </w:p>
        </w:tc>
        <w:tc>
          <w:tcPr/>
          <w:p>
            <w:pPr>
              <w:pStyle w:val="Compact"/>
            </w:pPr>
            <w:r>
              <w:t xml:space="preserve">Ссылка на ЭДД-документ, если она сформирована.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заказа.</w:t>
            </w:r>
          </w:p>
        </w:tc>
      </w:tr>
    </w:tbl>
    <w:p>
      <w:pPr>
        <w:pStyle w:val="BodyText"/>
      </w:pPr>
      <w:r>
        <w:t xml:space="preserve">Статусы заказа: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Заказ ожидает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Заказ передан в бронь или к месту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Заказ получен в месте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Заказ отклонен.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Издание выдано.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Заказ успешно создан.</w:t>
            </w:r>
          </w:p>
        </w:tc>
      </w:tr>
    </w:tbl>
    <w:bookmarkEnd w:id="19"/>
    <w:bookmarkStart w:id="20" w:name="каталог-экземпляры-и-форматирование"/>
    <w:p>
      <w:pPr>
        <w:pStyle w:val="Heading3"/>
      </w:pPr>
      <w:r>
        <w:t xml:space="preserve">3. Каталог, экземпляры и форматирование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Возвращает сведения об экземплярах библиографической записи: доступные и занятые экземпляры, места хранения, инвентарные номера и связанные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seq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numMfn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firstMfn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Min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 = 0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в БД, форматирует найденные записи и возвращает массив результата.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pref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startTerm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numTerms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isBack = false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 = ""</w:t>
            </w:r>
          </w:p>
        </w:tc>
        <w:tc>
          <w:tcPr/>
          <w:p>
            <w:pPr>
              <w:pStyle w:val="Compact"/>
            </w:pPr>
            <w:r>
              <w:t xml:space="preserve">Возвращает список терминов словаря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GetFasets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celltype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Возвращает фасеты для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rec_array</w:t>
            </w:r>
          </w:p>
        </w:tc>
        <w:tc>
          <w:tcPr/>
          <w:p>
            <w:pPr>
              <w:pStyle w:val="Compact"/>
            </w:pPr>
            <w:r>
              <w:t xml:space="preserve">Создает виртуальную запись из массива полей и форматирует ее указанным форматом.</w:t>
            </w:r>
          </w:p>
        </w:tc>
      </w:tr>
    </w:tbl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передается в форматтер БД. Для интеграционного</w:t>
      </w:r>
      <w:r>
        <w:t xml:space="preserve"> </w:t>
      </w:r>
      <w:r>
        <w:t xml:space="preserve">ответа можно использовать формат</w:t>
      </w:r>
      <w:r>
        <w:t xml:space="preserve"> </w:t>
      </w:r>
      <w:r>
        <w:rPr>
          <w:rStyle w:val="VerbatimChar"/>
        </w:rPr>
        <w:t xml:space="preserve">@Bitrix24/recdata</w:t>
      </w:r>
      <w:r>
        <w:t xml:space="preserve">; он возвращает JSON со</w:t>
      </w:r>
      <w:r>
        <w:t xml:space="preserve"> </w:t>
      </w:r>
      <w:r>
        <w:t xml:space="preserve">следующими полями: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Полное содержимое записи как массив 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Полное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RecVirtualFormat</w:t>
      </w:r>
      <w:r>
        <w:t xml:space="preserve"> </w:t>
      </w:r>
      <w:r>
        <w:t xml:space="preserve">полезен, когда внешняя система уже собрала массив полей и</w:t>
      </w:r>
      <w:r>
        <w:t xml:space="preserve"> </w:t>
      </w:r>
      <w:r>
        <w:t xml:space="preserve">ей нужно получить результат штатного форматирования ИРБИС 128 без сохранения</w:t>
      </w:r>
      <w:r>
        <w:t xml:space="preserve"> </w:t>
      </w:r>
      <w:r>
        <w:t xml:space="preserve">записи в БД.</w:t>
      </w:r>
    </w:p>
    <w:bookmarkEnd w:id="20"/>
    <w:bookmarkEnd w:id="21"/>
    <w:bookmarkStart w:id="29" w:name="примеры-вызовов"/>
    <w:p>
      <w:pPr>
        <w:pStyle w:val="Heading2"/>
      </w:pPr>
      <w:r>
        <w:t xml:space="preserve">Примеры вызовов</w:t>
      </w:r>
    </w:p>
    <w:p>
      <w:pPr>
        <w:pStyle w:val="FirstParagraph"/>
      </w:pPr>
      <w:r>
        <w:t xml:space="preserve">Примеры показывают только структуру JSON-RPC запроса. Конкретный базовый URL,</w:t>
      </w:r>
      <w:r>
        <w:t xml:space="preserve"> </w:t>
      </w:r>
      <w:r>
        <w:t xml:space="preserve">учетные данные и допустимые БД должен выдать администратор инсталляции.</w:t>
      </w:r>
    </w:p>
    <w:bookmarkStart w:id="22" w:name="получить-читателя"/>
    <w:p>
      <w:pPr>
        <w:pStyle w:val="Heading3"/>
      </w:pPr>
      <w:r>
        <w:t xml:space="preserve">1. Получить читателя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"get-user-1"</w:t>
      </w:r>
      <w:r>
        <w:br/>
      </w:r>
      <w:r>
        <w:rPr>
          <w:rStyle w:val="FunctionTok"/>
        </w:rPr>
        <w:t xml:space="preserve">}</w:t>
      </w:r>
    </w:p>
    <w:bookmarkEnd w:id="22"/>
    <w:bookmarkStart w:id="23" w:name="создать-заказ"/>
    <w:p>
      <w:pPr>
        <w:pStyle w:val="Heading3"/>
      </w:pPr>
      <w:r>
        <w:t xml:space="preserve">2. Создать заказ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"MakeOrder"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"record_id"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"004(075.8)/T 35-596353004"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"place_of_issue"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"AB1"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"make-order-1"</w:t>
      </w:r>
      <w:r>
        <w:br/>
      </w:r>
      <w:r>
        <w:rPr>
          <w:rStyle w:val="FunctionTok"/>
        </w:rPr>
        <w:t xml:space="preserve">}</w:t>
      </w:r>
    </w:p>
    <w:bookmarkEnd w:id="23"/>
    <w:bookmarkStart w:id="24" w:name="X292964a0e412c98d5c916116ffbd9e03389815f"/>
    <w:p>
      <w:pPr>
        <w:pStyle w:val="Heading3"/>
      </w:pPr>
      <w:r>
        <w:t xml:space="preserve">3. Найти записи и вернуть данные через</w:t>
      </w:r>
      <w:r>
        <w:t xml:space="preserve"> </w:t>
      </w:r>
      <w:r>
        <w:rPr>
          <w:rStyle w:val="VerbatimChar"/>
        </w:rPr>
        <w:t xml:space="preserve">@Bitrix24/recdata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"exp"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"seq"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"@Bitrix24/recdata"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"numMfn"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"firstMfn"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"search-1"</w:t>
      </w:r>
      <w:r>
        <w:br/>
      </w:r>
      <w:r>
        <w:rPr>
          <w:rStyle w:val="FunctionTok"/>
        </w:rPr>
        <w:t xml:space="preserve">}</w:t>
      </w:r>
    </w:p>
    <w:bookmarkEnd w:id="24"/>
    <w:bookmarkStart w:id="25" w:name="получить-формуляр"/>
    <w:p>
      <w:pPr>
        <w:pStyle w:val="Heading3"/>
      </w:pPr>
      <w:r>
        <w:t xml:space="preserve">4. Получить формуляр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"UserFormular"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"formular-1"</w:t>
      </w:r>
      <w:r>
        <w:br/>
      </w:r>
      <w:r>
        <w:rPr>
          <w:rStyle w:val="FunctionTok"/>
        </w:rPr>
        <w:t xml:space="preserve">}</w:t>
      </w:r>
    </w:p>
    <w:bookmarkEnd w:id="25"/>
    <w:bookmarkStart w:id="26" w:name="продлить-выдачу"/>
    <w:p>
      <w:pPr>
        <w:pStyle w:val="Heading3"/>
      </w:pPr>
      <w:r>
        <w:t xml:space="preserve">5. Продлить выдачу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"BookReturnProlongation"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"barcode_rfid"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"460000000001"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"inventory"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"new_return_date"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"20260731"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"prolongation-1"</w:t>
      </w:r>
      <w:r>
        <w:br/>
      </w:r>
      <w:r>
        <w:rPr>
          <w:rStyle w:val="FunctionTok"/>
        </w:rPr>
        <w:t xml:space="preserve">}</w:t>
      </w:r>
    </w:p>
    <w:bookmarkEnd w:id="26"/>
    <w:bookmarkStart w:id="27" w:name="отформатировать-виртуальную-запись"/>
    <w:p>
      <w:pPr>
        <w:pStyle w:val="Heading3"/>
      </w:pPr>
      <w:r>
        <w:t xml:space="preserve">6. Отформатировать виртуальную запись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"RecVirtualFormat"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"request"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"@requestout"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"rec_array"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"1"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"*"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    </w:t>
      </w:r>
      <w:r>
        <w:rPr>
          <w:rStyle w:val="OtherTok"/>
        </w:rPr>
        <w:t xml:space="preserve">]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"virtual-format-1"</w:t>
      </w:r>
      <w:r>
        <w:br/>
      </w:r>
      <w:r>
        <w:rPr>
          <w:rStyle w:val="FunctionTok"/>
        </w:rPr>
        <w:t xml:space="preserve">}</w:t>
      </w:r>
    </w:p>
    <w:bookmarkEnd w:id="27"/>
    <w:bookmarkStart w:id="28" w:name="batch-вызов"/>
    <w:p>
      <w:pPr>
        <w:pStyle w:val="Heading3"/>
      </w:pPr>
      <w:r>
        <w:t xml:space="preserve">7. Batch-вызов</w:t>
      </w:r>
    </w:p>
    <w:p>
      <w:pPr>
        <w:pStyle w:val="SourceCode"/>
      </w:pP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"GetOrders"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br/>
      </w:r>
      <w:r>
        <w:rPr>
          <w:rStyle w:val="OtherTok"/>
        </w:rPr>
        <w:t xml:space="preserve">]</w:t>
      </w:r>
    </w:p>
    <w:p>
      <w:pPr>
        <w:pStyle w:val="FirstParagraph"/>
      </w:pPr>
      <w:r>
        <w:t xml:space="preserve">Batch-ответ содержит массив ответов для вызовов, у которых был указан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  <w:r>
        <w:t xml:space="preserve"> </w:t>
      </w:r>
      <w:r>
        <w:t xml:space="preserve">Если вызов отправлен без</w:t>
      </w:r>
      <w:r>
        <w:t xml:space="preserve"> </w:t>
      </w:r>
      <w:r>
        <w:rPr>
          <w:rStyle w:val="VerbatimChar"/>
        </w:rPr>
        <w:t xml:space="preserve">id</w:t>
      </w:r>
      <w:r>
        <w:t xml:space="preserve">, сервер выполнит его как notification и не</w:t>
      </w:r>
      <w:r>
        <w:t xml:space="preserve"> </w:t>
      </w:r>
      <w:r>
        <w:t xml:space="preserve">добавит отдельный ответ для этого элемента.</w:t>
      </w:r>
    </w:p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Битрикс24</dc:title>
  <dc:creator/>
  <cp:keywords/>
  <dcterms:created xsi:type="dcterms:W3CDTF">2026-11-08T06:53:47Z</dcterms:created>
  <dcterms:modified xsi:type="dcterms:W3CDTF">2026-11-08T06:53:47Z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