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u"/>
    <w:p>
      <w:pPr>
        <w:pStyle w:val="Heading1"/>
      </w:pPr>
      <w:r>
        <w:t xml:space="preserve">Назначение KSU</w:t>
      </w:r>
    </w:p>
    <w:p>
      <w:pPr>
        <w:pStyle w:val="FirstParagraph"/>
      </w:pPr>
      <w:r>
        <w:rPr>
          <w:rStyle w:val="VerbatimChar"/>
        </w:rPr>
        <w:t xml:space="preserve">KSU</w:t>
      </w:r>
      <w:r>
        <w:t xml:space="preserve"> </w:t>
      </w:r>
      <w:r>
        <w:t xml:space="preserve">является карточным модулем для записей книги суммарного учета поступления. Он использует тип записи</w:t>
      </w:r>
      <w:r>
        <w:t xml:space="preserve"> </w:t>
      </w:r>
      <w:r>
        <w:rPr>
          <w:rStyle w:val="VerbatimChar"/>
        </w:rPr>
        <w:t xml:space="preserve">KSU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 поступления фонда.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KSU</dc:title>
  <dc:creator/>
  <cp:keywords/>
  <dcterms:created xsi:type="dcterms:W3CDTF">2026-11-02T16:41:04Z</dcterms:created>
  <dcterms:modified xsi:type="dcterms:W3CDTF">2026-11-02T16:41:04Z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