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и представления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анные-и-представления"/>
    <w:p>
      <w:pPr>
        <w:pStyle w:val="Heading1"/>
      </w:pPr>
      <w:r>
        <w:t xml:space="preserve">Данные и представления</w:t>
      </w:r>
    </w:p>
    <w:bookmarkStart w:id="9" w:name="основные-базы"/>
    <w:p>
      <w:pPr>
        <w:pStyle w:val="Heading2"/>
      </w:pPr>
      <w:r>
        <w:t xml:space="preserve">1. Основные базы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9"/>
    <w:bookmarkStart w:id="10" w:name="основные-поля-support"/>
    <w:p>
      <w:pPr>
        <w:pStyle w:val="Heading2"/>
      </w:pPr>
      <w:r>
        <w:t xml:space="preserve">2. Основные поля SUPPORT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и представления</dc:title>
  <dc:creator/>
  <cp:keywords/>
  <dcterms:created xsi:type="dcterms:W3CDTF">2026-11-02T02:16:13Z</dcterms:created>
  <dcterms:modified xsi:type="dcterms:W3CDTF">2026-11-02T02:16:13Z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