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система-безопасности"/>
    <w:p>
      <w:pPr>
        <w:pStyle w:val="Heading1"/>
      </w:pPr>
      <w:r>
        <w:t xml:space="preserve">Подсистема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управляет SID, владельцами объектов, наследованием прав, ролями пользователя и проверкой доступа к действиям над объектами.</w:t>
      </w:r>
    </w:p>
    <w:bookmarkStart w:id="9" w:name="назначение-security"/>
    <w:p>
      <w:pPr>
        <w:pStyle w:val="Heading2"/>
      </w:pPr>
      <w:r>
        <w:t xml:space="preserve">Назначение Security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инфраструктурным модулем прав доступа. Он хранит служебные сведения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системный идентификатор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владельца объекта, связи дерева объектов, права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и наследованные права.</w:t>
      </w:r>
    </w:p>
    <w:p>
      <w:pPr>
        <w:pStyle w:val="BodyText"/>
      </w:pPr>
      <w:r>
        <w:t xml:space="preserve">Модуль вычисляет роли текущего пользователя через типы групп</w:t>
      </w:r>
      <w:r>
        <w:t xml:space="preserve"> </w:t>
      </w:r>
      <w:r>
        <w:rPr>
          <w:rStyle w:val="VerbatimChar"/>
        </w:rPr>
        <w:t xml:space="preserve">.gtc</w:t>
      </w:r>
      <w:r>
        <w:t xml:space="preserve">,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 строит кнопки действий с учетом прав и поддерживает перестроение наследованных прав для подчиненных объектов.</w:t>
      </w:r>
    </w:p>
    <w:p>
      <w:pPr>
        <w:pStyle w:val="BodyText"/>
      </w:pPr>
      <w:r>
        <w:t xml:space="preserve">Для интеграций и системных профилей модуль также является владельцем системных ссылок на секреты: внешние модули должны хранить</w:t>
      </w:r>
      <w:r>
        <w:t xml:space="preserve"> </w:t>
      </w:r>
      <w:r>
        <w:rPr>
          <w:rStyle w:val="VerbatimChar"/>
        </w:rPr>
        <w:t xml:space="preserve">secret://scope/name</w:t>
      </w:r>
      <w:r>
        <w:t xml:space="preserve">, а не открытые пароли, токены или webhook-ключи. Значение секрета выдается только доверенному runtime-коду через отдельную операцию разрешения ссылки и не попадает в списки, диагностику, Help или audit.</w:t>
      </w:r>
    </w:p>
    <w:p>
      <w:pPr>
        <w:pStyle w:val="BodyText"/>
      </w:pPr>
      <w:r>
        <w:t xml:space="preserve">Типы групп подключаются из файлов</w:t>
      </w:r>
      <w:r>
        <w:t xml:space="preserve"> </w:t>
      </w:r>
      <w:r>
        <w:rPr>
          <w:rStyle w:val="VerbatimChar"/>
        </w:rPr>
        <w:t xml:space="preserve">.gtc</w:t>
      </w:r>
      <w:r>
        <w:t xml:space="preserve"> </w:t>
      </w:r>
      <w:r>
        <w:t xml:space="preserve">рядом с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: IP, LOGIN, GROUP, SITESPEC, LDAPGROUP и другие. Эти классы определяют, какие роли есть у текущего пользователя и как они отображаются в интерфейсе редактирования прав.</w:t>
      </w:r>
    </w:p>
    <w:p>
      <w:pPr>
        <w:pStyle w:val="BodyText"/>
      </w:pPr>
      <w:r>
        <w:t xml:space="preserve">Для новых промышленных контуров модуль также предоставляет общий permission decision contract: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, role-based grants/denies, field/view decisions, batch-проверку и audit envelope. Этот контракт предназначен для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 публичных представлений, API и экспорта, но не переносит в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доменную логику этих модулей.</w:t>
      </w:r>
    </w:p>
    <w:bookmarkEnd w:id="9"/>
    <w:bookmarkStart w:id="14" w:name="служебное-поле-113"/>
    <w:p>
      <w:pPr>
        <w:pStyle w:val="Heading2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10" w:name="ответственность-модулей"/>
    <w:p>
      <w:pPr>
        <w:pStyle w:val="Heading3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10"/>
    <w:bookmarkStart w:id="11" w:name="явная-материализация"/>
    <w:p>
      <w:pPr>
        <w:pStyle w:val="Heading3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1"/>
    <w:bookmarkStart w:id="12" w:name="совместимость-с-ирбис-64-и-irbistool"/>
    <w:p>
      <w:pPr>
        <w:pStyle w:val="Heading3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3"/>
    <w:bookmarkEnd w:id="14"/>
    <w:bookmarkStart w:id="18" w:name="системное-хранилище-секретов"/>
    <w:p>
      <w:pPr>
        <w:pStyle w:val="Heading2"/>
      </w:pPr>
      <w:r>
        <w:t xml:space="preserve">Системное хранилище секретов</w:t>
      </w:r>
    </w:p>
    <w:p>
      <w:pPr>
        <w:pStyle w:val="FirstParagraph"/>
      </w:pPr>
      <w:r>
        <w:t xml:space="preserve">Системное хранилище секретов используется для паролей, token, API key, webhook secret и других значений, которые не должны храниться в открытом виде в настройках доменных модулей.</w:t>
      </w:r>
    </w:p>
    <w:bookmarkStart w:id="15" w:name="ссылка-на-секрет"/>
    <w:p>
      <w:pPr>
        <w:pStyle w:val="Heading3"/>
      </w:pPr>
      <w:r>
        <w:t xml:space="preserve">1. Ссылка на секрет</w:t>
      </w:r>
    </w:p>
    <w:p>
      <w:pPr>
        <w:pStyle w:val="FirstParagraph"/>
      </w:pPr>
      <w:r>
        <w:t xml:space="preserve">Внешние модули хранят только ссылку:</w:t>
      </w:r>
    </w:p>
    <w:p>
      <w:pPr>
        <w:pStyle w:val="SourceCode"/>
      </w:pPr>
      <w:r>
        <w:rPr>
          <w:rStyle w:val="VerbatimChar"/>
        </w:rPr>
        <w:t xml:space="preserve">secret://scope/name</w:t>
      </w:r>
    </w:p>
    <w:p>
      <w:pPr>
        <w:pStyle w:val="FirstParagraph"/>
      </w:pPr>
      <w: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secret://api/jira/main-token</w:t>
      </w:r>
      <w:r>
        <w:br/>
      </w:r>
      <w:r>
        <w:rPr>
          <w:rStyle w:val="VerbatimChar"/>
        </w:rPr>
        <w:t xml:space="preserve">secret://mailbox/support/smtp-password</w:t>
      </w:r>
      <w:r>
        <w:br/>
      </w:r>
      <w:r>
        <w:rPr>
          <w:rStyle w:val="VerbatimChar"/>
        </w:rPr>
        <w:t xml:space="preserve">secret://webhook/bitbucket/pr-relay</w:t>
      </w:r>
    </w:p>
    <w:p>
      <w:pPr>
        <w:pStyle w:val="FirstParagraph"/>
      </w:pPr>
      <w:r>
        <w:rPr>
          <w:rStyle w:val="VerbatimChar"/>
        </w:rPr>
        <w:t xml:space="preserve">scope</w:t>
      </w:r>
      <w:r>
        <w:t xml:space="preserve"> </w:t>
      </w:r>
      <w:r>
        <w:t xml:space="preserve">задает область использования секрета: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adapter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mailbox</w:t>
      </w:r>
      <w:r>
        <w:t xml:space="preserve">,</w:t>
      </w:r>
      <w:r>
        <w:t xml:space="preserve"> </w:t>
      </w:r>
      <w:r>
        <w:rPr>
          <w:rStyle w:val="VerbatimChar"/>
        </w:rPr>
        <w:t xml:space="preserve">webhook</w:t>
      </w:r>
      <w:r>
        <w:t xml:space="preserve">,</w:t>
      </w:r>
      <w:r>
        <w:t xml:space="preserve"> </w:t>
      </w:r>
      <w:r>
        <w:rPr>
          <w:rStyle w:val="VerbatimChar"/>
        </w:rPr>
        <w:t xml:space="preserve">api</w:t>
      </w:r>
      <w:r>
        <w:t xml:space="preserve">,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является стабильным техническим именем внутри области.</w:t>
      </w:r>
    </w:p>
    <w:bookmarkEnd w:id="15"/>
    <w:bookmarkStart w:id="16" w:name="операции-модуля"/>
    <w:p>
      <w:pPr>
        <w:pStyle w:val="Heading3"/>
      </w:pPr>
      <w:r>
        <w:t xml:space="preserve">2. Операции модуля</w:t>
      </w:r>
    </w:p>
    <w:p>
      <w:pPr>
        <w:pStyle w:val="FirstParagraph"/>
      </w:pPr>
      <w:r>
        <w:t xml:space="preserve">Для работы с секретами используются внешние функции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Функция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NormalizeSecretReference</w:t>
            </w:r>
          </w:p>
        </w:tc>
        <w:tc>
          <w:tcPr/>
          <w:p>
            <w:pPr>
              <w:pStyle w:val="Compact"/>
            </w:pPr>
            <w:r>
              <w:t xml:space="preserve">Проверяет ссылку и приводит ее к каноническому виду.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RotateSecret</w:t>
            </w:r>
          </w:p>
        </w:tc>
        <w:tc>
          <w:tcPr/>
          <w:p>
            <w:pPr>
              <w:pStyle w:val="Compact"/>
            </w:pPr>
            <w:r>
              <w:t xml:space="preserve">Создает или заменяет значение секрета. Значение шифруется и не возвращается в ответе.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ResolveSecretReference</w:t>
            </w:r>
          </w:p>
        </w:tc>
        <w:tc>
          <w:tcPr/>
          <w:p>
            <w:pPr>
              <w:pStyle w:val="Compact"/>
            </w:pPr>
            <w:r>
              <w:t xml:space="preserve">Возвращает безопасные метаданные секрета. Значение выдается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includeValue=true</w:t>
            </w:r>
            <w:r>
              <w:t xml:space="preserve"> </w:t>
            </w:r>
            <w:r>
              <w:t xml:space="preserve">и разрешенном consumer.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GetSecretMetadata</w:t>
            </w:r>
          </w:p>
        </w:tc>
        <w:tc>
          <w:tcPr/>
          <w:p>
            <w:pPr>
              <w:pStyle w:val="Compact"/>
            </w:pPr>
            <w:r>
              <w:t xml:space="preserve">Возвращает метаданные без расшифровки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ListSecretReferences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ссылок и безопасных метаданных.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MaskSecretPayload</w:t>
            </w:r>
          </w:p>
        </w:tc>
        <w:tc>
          <w:tcPr/>
          <w:p>
            <w:pPr>
              <w:pStyle w:val="Compact"/>
            </w:pPr>
            <w:r>
              <w:t xml:space="preserve">Маскирует секретные значения перед выводом в UI, лог или audit.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HealthCheckSecretsDefinition</w:t>
            </w:r>
          </w:p>
        </w:tc>
        <w:tc>
          <w:tcPr/>
          <w:p>
            <w:pPr>
              <w:pStyle w:val="Compact"/>
            </w:pPr>
            <w:r>
              <w:t xml:space="preserve">Проверяет контракт и структуру хранилища без раскрытия секретов.</w:t>
            </w:r>
          </w:p>
        </w:tc>
      </w:tr>
    </w:tbl>
    <w:bookmarkEnd w:id="16"/>
    <w:bookmarkStart w:id="17" w:name="правила-безопасности"/>
    <w:p>
      <w:pPr>
        <w:pStyle w:val="Heading3"/>
      </w:pPr>
      <w:r>
        <w:t xml:space="preserve">3. Правила безопасности</w:t>
      </w:r>
    </w:p>
    <w:p>
      <w:pPr>
        <w:pStyle w:val="FirstParagraph"/>
      </w:pPr>
      <w:r>
        <w:t xml:space="preserve">Списки, метаданные, Help, HealthCheck и audit не должны возвращать открытое значение секрета. Ротация значения и выдача открытого значения требуют администратора или доверенного runtime-кода модуля. Runtime-код потребителя получает значение только через</w:t>
      </w:r>
      <w:r>
        <w:t xml:space="preserve"> </w:t>
      </w:r>
      <w:r>
        <w:rPr>
          <w:rStyle w:val="VerbatimChar"/>
        </w:rPr>
        <w:t xml:space="preserve">ResolveSecretReference</w:t>
      </w:r>
      <w:r>
        <w:t xml:space="preserve"> </w:t>
      </w:r>
      <w:r>
        <w:t xml:space="preserve">с явным</w:t>
      </w:r>
      <w:r>
        <w:t xml:space="preserve"> </w:t>
      </w:r>
      <w:r>
        <w:rPr>
          <w:rStyle w:val="VerbatimChar"/>
        </w:rPr>
        <w:t xml:space="preserve">includeValue=true</w:t>
      </w:r>
      <w:r>
        <w:t xml:space="preserve">. Если у секрета задан список</w:t>
      </w:r>
      <w:r>
        <w:t xml:space="preserve"> </w:t>
      </w:r>
      <w:r>
        <w:rPr>
          <w:rStyle w:val="VerbatimChar"/>
        </w:rPr>
        <w:t xml:space="preserve">consumers</w:t>
      </w:r>
      <w:r>
        <w:t xml:space="preserve">, значение выдается только указанному потребителю.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ссылку, хранение, ротацию, маскирование и безопасную выдачу значения. Доменные модули остаются владельцами своей бизнес-логики, профилей интеграции и правил применения полученного секрета.</w:t>
      </w:r>
    </w:p>
    <w:bookmarkEnd w:id="17"/>
    <w:bookmarkEnd w:id="18"/>
    <w:bookmarkStart w:id="19" w:name="permission-decision-contract"/>
    <w:p>
      <w:pPr>
        <w:pStyle w:val="Heading2"/>
      </w:pPr>
      <w:r>
        <w:t xml:space="preserve">Permission Decision Contract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предоставляет общий контракт проверки доступа для UI, API, workflow runtime, публичных форм, фильтров и экспорта. Контракт не содержит знаний о задачах, workflow, файлах или других доменных объектах: вызывающий модуль передает субъект, объект, ключ права, область проверки и контекст.</w:t>
      </w:r>
    </w:p>
    <w:p>
      <w:pPr>
        <w:pStyle w:val="BodyText"/>
      </w:pPr>
      <w:r>
        <w:t xml:space="preserve">Основной результат проверки -</w:t>
      </w:r>
      <w:r>
        <w:t xml:space="preserve"> </w:t>
      </w:r>
      <w:r>
        <w:rPr>
          <w:rStyle w:val="VerbatimChar"/>
        </w:rPr>
        <w:t xml:space="preserve">SecurityAccessDecision</w:t>
      </w:r>
      <w:r>
        <w:t xml:space="preserve">. В нем фиксируются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permissionKey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безопасная причина отказа или разрешения, diagnostic code, object reference, subject reference и признак необходимости audit.</w:t>
      </w:r>
    </w:p>
    <w:p>
      <w:pPr>
        <w:pStyle w:val="BodyText"/>
      </w:pPr>
      <w:r>
        <w:t xml:space="preserve">Поддерживаемые решения: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Решение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</w:t>
            </w:r>
          </w:p>
        </w:tc>
        <w:tc>
          <w:tcPr/>
          <w:p>
            <w:pPr>
              <w:pStyle w:val="Compact"/>
            </w:pPr>
            <w:r>
              <w:t xml:space="preserve">действие разрешено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deny</w:t>
            </w:r>
          </w:p>
        </w:tc>
        <w:tc>
          <w:tcPr/>
          <w:p>
            <w:pPr>
              <w:pStyle w:val="Compact"/>
            </w:pPr>
            <w:r>
              <w:t xml:space="preserve">действие запрещено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значение можно показать только в маскированном виде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readonly</w:t>
            </w:r>
          </w:p>
        </w:tc>
        <w:tc>
          <w:tcPr/>
          <w:p>
            <w:pPr>
              <w:pStyle w:val="Compact"/>
            </w:pPr>
            <w:r>
              <w:t xml:space="preserve">объект или поле доступно только для чтения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not-applicable</w:t>
            </w:r>
          </w:p>
        </w:tc>
        <w:tc>
          <w:tcPr/>
          <w:p>
            <w:pPr>
              <w:pStyle w:val="Compact"/>
            </w:pPr>
            <w:r>
              <w:t xml:space="preserve">отдельная схема не задана, вызывающий модуль применяет свое совместимое поведение</w:t>
            </w:r>
          </w:p>
        </w:tc>
      </w:tr>
    </w:tbl>
    <w:p>
      <w:pPr>
        <w:pStyle w:val="BodyText"/>
      </w:pPr>
      <w:r>
        <w:t xml:space="preserve">Для record-level действий без новой схемы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может использовать старые права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чтобы не ломать существующие сценарии. Для новых промышленных контуров рекомендуется передавать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schemeKey</w:t>
      </w:r>
      <w:r>
        <w:t xml:space="preserve">: deny имеет приоритет над grant, wildcard-правило не может перекрыть явный запрет.</w:t>
      </w:r>
    </w:p>
    <w:p>
      <w:pPr>
        <w:pStyle w:val="BodyText"/>
      </w:pPr>
      <w:r>
        <w:t xml:space="preserve">Field security и view security вызываются через</w:t>
      </w:r>
      <w:r>
        <w:t xml:space="preserve"> </w:t>
      </w:r>
      <w:r>
        <w:rPr>
          <w:rStyle w:val="VerbatimChar"/>
        </w:rPr>
        <w:t xml:space="preserve">CheckFieldAccess()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CheckViewAccess()</w:t>
      </w:r>
      <w:r>
        <w:t xml:space="preserve">.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работает с логическими field/view keys и не должен знать физические номера полей предметных записей. Номера полей и способы ввода остаются ответственностью доменного модуля,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.</w:t>
      </w:r>
    </w:p>
    <w:p>
      <w:pPr>
        <w:pStyle w:val="BodyText"/>
      </w:pPr>
      <w:r>
        <w:t xml:space="preserve">Batch-проверка доступна через</w:t>
      </w:r>
      <w:r>
        <w:t xml:space="preserve"> </w:t>
      </w:r>
      <w:r>
        <w:rPr>
          <w:rStyle w:val="VerbatimChar"/>
        </w:rPr>
        <w:t xml:space="preserve">BatchCheckPermissions()</w:t>
      </w:r>
      <w:r>
        <w:t xml:space="preserve">. Она нужна спискам, фильтрам, карточкам и API, чтобы не выполнять тяжелую проверку отдельно для каждого элемента интерфейса.</w:t>
      </w:r>
    </w:p>
    <w:p>
      <w:pPr>
        <w:pStyle w:val="BodyText"/>
      </w:pPr>
      <w:r>
        <w:t xml:space="preserve">Если решение требует audit,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формирует audit envelope без сохранения скрытого содержимого. Постоянное хранение audit, доменная история и события выполняются соответствующими владельцами контуров.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безопасности</dc:title>
  <dc:creator/>
  <cp:keywords/>
  <dcterms:created xsi:type="dcterms:W3CDTF">2026-11-06T05:21:03Z</dcterms:created>
  <dcterms:modified xsi:type="dcterms:W3CDTF">2026-11-06T05:21:03Z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