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Провайдеры и подключение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вайдеры-и-подключение"/>
    <w:p>
      <w:pPr>
        <w:pStyle w:val="Heading1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10" w:name="варианты-подключения"/>
    <w:p>
      <w:pPr>
        <w:pStyle w:val="Heading2"/>
      </w:pPr>
      <w:r>
        <w:t xml:space="preserve">1. Варианты подключения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10"/>
    <w:bookmarkStart w:id="11" w:name="открытие-баз"/>
    <w:p>
      <w:pPr>
        <w:pStyle w:val="Heading2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11"/>
    <w:bookmarkStart w:id="12" w:name="доступ-к-провайдеру-и-кэшу-открытых-баз"/>
    <w:p>
      <w:pPr>
        <w:pStyle w:val="Heading2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12"/>
    <w:bookmarkStart w:id="13" w:name="ошибки"/>
    <w:p>
      <w:pPr>
        <w:pStyle w:val="Heading2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Irbis64Native/Roo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Irbis64Native/Roo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Провайдеры и подключение</dc:title>
  <dc:creator/>
  <cp:keywords/>
  <dcterms:created xsi:type="dcterms:W3CDTF">2026-10-31T20:18:39Z</dcterms:created>
  <dcterms:modified xsi:type="dcterms:W3CDTF">2026-10-31T20:18:39Z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