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Resolver заявителя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resolver-заявителя"/>
    <w:p>
      <w:pPr>
        <w:pStyle w:val="Heading1"/>
      </w:pPr>
      <w:r>
        <w:t xml:space="preserve">Resolver заявителя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предоставляет общий resolver заявителя для портальных и процессных сценариев. Он нужен модулям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 </w:t>
      </w:r>
      <w:r>
        <w:t xml:space="preserve">и другим потребителям, которым требуется единообразно понять, кто выступает заявителем: авторизованный пользователь, внешний подтвержденный контакт или служебная роль.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Users/ResolveApplicantContext</w:t>
      </w:r>
      <w:r>
        <w:t xml:space="preserve"> </w:t>
      </w:r>
      <w:r>
        <w:t xml:space="preserve">возвращает нормализованный контекст:</w:t>
      </w:r>
    </w:p>
    <w:p>
      <w:pPr>
        <w:pStyle w:val="Compact"/>
        <w:numPr>
          <w:ilvl w:val="0"/>
          <w:numId w:val="1001"/>
        </w:numPr>
      </w:pPr>
      <w:r>
        <w:t xml:space="preserve">тип заявителя;</w:t>
      </w:r>
    </w:p>
    <w:p>
      <w:pPr>
        <w:pStyle w:val="Compact"/>
        <w:numPr>
          <w:ilvl w:val="0"/>
          <w:numId w:val="1001"/>
        </w:numPr>
      </w:pPr>
      <w:r>
        <w:t xml:space="preserve">безопасное отображаемое имя;</w:t>
      </w:r>
    </w:p>
    <w:p>
      <w:pPr>
        <w:pStyle w:val="Compact"/>
        <w:numPr>
          <w:ilvl w:val="0"/>
          <w:numId w:val="1001"/>
        </w:numPr>
      </w:pPr>
      <w:r>
        <w:t xml:space="preserve">идентификаторы и подтвержденные контакты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организационные связи из записи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выбранную организацию, если она передана потребителем;</w:t>
      </w:r>
    </w:p>
    <w:p>
      <w:pPr>
        <w:pStyle w:val="Compact"/>
        <w:numPr>
          <w:ilvl w:val="0"/>
          <w:numId w:val="1001"/>
        </w:numPr>
      </w:pPr>
      <w:r>
        <w:t xml:space="preserve">роли и делегирования, переданные вызывающим модулем;</w:t>
      </w:r>
    </w:p>
    <w:p>
      <w:pPr>
        <w:pStyle w:val="Compact"/>
        <w:numPr>
          <w:ilvl w:val="0"/>
          <w:numId w:val="1001"/>
        </w:numPr>
      </w:pPr>
      <w:r>
        <w:t xml:space="preserve">объяснимую причину отказа, если заявителя нельзя использовать.</w:t>
      </w:r>
    </w:p>
    <w:p>
      <w:pPr>
        <w:pStyle w:val="FirstParagraph"/>
      </w:pPr>
      <w:r>
        <w:t xml:space="preserve">Resolver не принимает окончательное решение доступа. Он только подготавливает контекст и диагностические признаки. Финальное решение по правам на запись, проект, страницу, поле или действие должен принимать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Проверка принадлежности к организации выполняется через</w:t>
      </w:r>
      <w:r>
        <w:t xml:space="preserve"> </w:t>
      </w:r>
      <w:r>
        <w:rPr>
          <w:rStyle w:val="VerbatimChar"/>
        </w:rPr>
        <w:t xml:space="preserve">Users/CanApplicantActForOrganisation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Users/IsApplicantInOrganisation</w:t>
      </w:r>
      <w:r>
        <w:t xml:space="preserve">. Организационную часть решения обслуживает 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modules/Users/system/applicant_resolver.json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Resolver заявителя</dc:title>
  <dc:creator/>
  <cp:keywords/>
  <dcterms:created xsi:type="dcterms:W3CDTF">2026-11-08T18:33:53Z</dcterms:created>
  <dcterms:modified xsi:type="dcterms:W3CDTF">2026-11-08T18:33:53Z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