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ИРБИС64+ Турбо под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становка-ирбис64-турбо-под-windows"/>
    <w:p>
      <w:pPr>
        <w:pStyle w:val="Heading1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9"/>
    <w:bookmarkStart w:id="10" w:name="установка"/>
    <w:p>
      <w:pPr>
        <w:pStyle w:val="Heading2"/>
      </w:pPr>
      <w:r>
        <w:t xml:space="preserve">2. Установка</w:t>
      </w:r>
    </w:p>
    <w:p>
      <w:pPr>
        <w:pStyle w:val="Compact"/>
        <w:numPr>
          <w:ilvl w:val="0"/>
          <w:numId w:val="1002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0"/>
    <w:bookmarkStart w:id="13" w:name="первичная-настройка"/>
    <w:p>
      <w:pPr>
        <w:pStyle w:val="Heading2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1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Server128/Setup" TargetMode="External" /><Relationship Type="http://schemas.openxmlformats.org/officeDocument/2006/relationships/hyperlink" Id="rId12" Target="?id=Help/Show&amp;m=Help/Help/Server128/Setup/Setup64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ИРБИС64+ Турбо под Windows</dc:title>
  <dc:creator/>
  <cp:keywords/>
  <dcterms:created xsi:type="dcterms:W3CDTF">2026-10-30T23:00:18Z</dcterms:created>
  <dcterms:modified xsi:type="dcterms:W3CDTF">2026-10-30T23:00:18Z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