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viewscheme"/>
    <w:p>
      <w:pPr>
        <w:pStyle w:val="Heading1"/>
      </w:pPr>
      <w:r>
        <w:t xml:space="preserve">WorkflowViewScheme</w:t>
      </w:r>
    </w:p>
    <w:p>
      <w:pPr>
        <w:pStyle w:val="FirstParagraph"/>
      </w:pPr>
      <w:r>
        <w:t xml:space="preserve">Модуль хранит схемы выбора представлений для страниц проекта.</w:t>
      </w:r>
    </w:p>
    <w:bookmarkStart w:id="13" w:name="назначение-workflowviewscheme"/>
    <w:p>
      <w:pPr>
        <w:pStyle w:val="Heading2"/>
      </w:pPr>
      <w:r>
        <w:t xml:space="preserve">Назначение WorkflowViewScheme</w:t>
      </w:r>
    </w:p>
    <w:p>
      <w:pPr>
        <w:pStyle w:val="FirstParagraph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связывает тип записи и ключ страницы с представлением списка, карточки, формы создания, внешней страницы или доски. Благодаря этому один и тот же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может обслуживать разные интерфейсы проекта.</w:t>
      </w:r>
    </w:p>
    <w:p>
      <w:pPr>
        <w:pStyle w:val="BodyText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является источником состава верхней навигации проекта: пункт меню появляется только тогда, когда соответствующий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включен в активную схему представлений.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отображения этого пункта, но сама по себе не публикует страницу в меню.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viewscheme-1"/>
    <w:p>
      <w:pPr>
        <w:pStyle w:val="Heading3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9" w:name="запись-workflowviewscheme"/>
    <w:p>
      <w:pPr>
        <w:pStyle w:val="Heading4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представление"/>
    <w:p>
      <w:pPr>
        <w:pStyle w:val="Heading4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0"/>
    <w:bookmarkStart w:id="11" w:name="использование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bookmarkStart w:id="14" w:name="X8101ea77dbc7cd9a447332b2c27dd155d0ad550"/>
    <w:p>
      <w:pPr>
        <w:pStyle w:val="Heading2"/>
      </w:pPr>
      <w:r>
        <w:t xml:space="preserve">Повторная ссылка пропущена: Workflow/Modules/WorkflowViewScheme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WorkflowViewScheme</dc:title>
  <dc:creator/>
  <cp:keywords/>
  <dcterms:created xsi:type="dcterms:W3CDTF">2026-10-29T06:50:53Z</dcterms:created>
  <dcterms:modified xsi:type="dcterms:W3CDTF">2026-10-29T06:50:53Z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