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Mapping и ExternalId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mapping-и-externalid"/>
    <w:p>
      <w:pPr>
        <w:pStyle w:val="Heading1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9" w:name="externalid"/>
    <w:p>
      <w:pPr>
        <w:pStyle w:val="Heading2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1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1"/>
        </w:numPr>
      </w:pPr>
      <w:r>
        <w:t xml:space="preserve">статус связи;</w:t>
      </w:r>
    </w:p>
    <w:p>
      <w:pPr>
        <w:pStyle w:val="Compact"/>
        <w:numPr>
          <w:ilvl w:val="0"/>
          <w:numId w:val="1001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1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9"/>
    <w:bookmarkStart w:id="10" w:name="mappingprofile"/>
    <w:p>
      <w:pPr>
        <w:pStyle w:val="Heading2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2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2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2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2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10"/>
    <w:bookmarkStart w:id="11" w:name="dry-run"/>
    <w:p>
      <w:pPr>
        <w:pStyle w:val="Heading2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12"/>
    <w:bookmarkStart w:id="13" w:name="границы-ответственности"/>
    <w:p>
      <w:pPr>
        <w:pStyle w:val="Heading2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Mapping и ExternalId</dc:title>
  <dc:creator/>
  <cp:keywords/>
  <dcterms:created xsi:type="dcterms:W3CDTF">2026-10-27T23:45:18Z</dcterms:created>
  <dcterms:modified xsi:type="dcterms:W3CDTF">2026-10-27T23:45:18Z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