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глобальные-константы"/>
    <w:p>
      <w:pPr>
        <w:pStyle w:val="Heading1"/>
      </w:pPr>
      <w:r>
        <w:t xml:space="preserve">Глобальные константы</w:t>
      </w:r>
    </w:p>
    <w:p>
      <w:pPr>
        <w:pStyle w:val="FirstParagraph"/>
      </w:pPr>
      <w:r>
        <w:t xml:space="preserve">Глобальные константы подключаются из файла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 Ниже перечислены базовые коды и константы путей, которые использовались в исходном описании ядра.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Константа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ER_OK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ER_POINTER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ER_NOTCONNECTED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APATH_SYS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APATH_DATAI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APATH_MST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APATH_IF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APATH_DB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Полный список констант см. в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; он включает коды ошибок, команды протокола ИРБИС, размеры пакетов и служебные разделители.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константы</dc:title>
  <dc:creator/>
  <cp:keywords/>
  <dcterms:created xsi:type="dcterms:W3CDTF">2026-11-08T18:32:29Z</dcterms:created>
  <dcterms:modified xsi:type="dcterms:W3CDTF">2026-11-08T18:32:29Z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