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глобальные-константы"/>
    <w:p>
      <w:pPr>
        <w:pStyle w:val="Heading1"/>
      </w:pPr>
      <w:r>
        <w:t xml:space="preserve">Глобальные константы</w:t>
      </w:r>
    </w:p>
    <w:p>
      <w:pPr>
        <w:pStyle w:val="FirstParagraph"/>
      </w:pPr>
      <w:r>
        <w:t xml:space="preserve">Глобальные константы подключаются из файла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 Ниже перечислены базовые коды и константы путей, которые использовались в исходном описании ядра.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Константа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ER_OK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ER_POINTER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ER_NOTCONNECTED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APATH_SYS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APATH_DATAI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APATH_MST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APATH_IF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APATH_DB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Полный список констант см. в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; он включает коды ошибок, команды протокола ИРБИС, размеры пакетов и служебные разделители.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константы</dc:title>
  <dc:creator/>
  <cp:keywords/>
  <dcterms:created xsi:type="dcterms:W3CDTF">2026-11-08T16:00:56Z</dcterms:created>
  <dcterms:modified xsi:type="dcterms:W3CDTF">2026-11-08T16:00:56Z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