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Многопроцессорный режим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многопроцессорный-режим"/>
    <w:p>
      <w:pPr>
        <w:pStyle w:val="Heading1"/>
      </w:pPr>
      <w:r>
        <w:t xml:space="preserve">Многопроцессорный режим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USE_MULTY_PROCESSOR</w:t>
            </w:r>
          </w:p>
        </w:tc>
        <w:tc>
          <w:tcPr/>
          <w:p>
            <w:pPr>
              <w:pStyle w:val="Compact"/>
            </w:pPr>
            <w:r>
              <w:t xml:space="preserve">При значении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потоки сетевого чтения-записи и потоки процессов обработки распределяются по процессорам оптимальным образом.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Многопроцессорный режим</dc:title>
  <dc:creator/>
  <cp:keywords/>
  <dcterms:created xsi:type="dcterms:W3CDTF">2026-11-08T02:38:05Z</dcterms:created>
  <dcterms:modified xsi:type="dcterms:W3CDTF">2026-11-08T02:38:05Z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