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Многопроцессорный режим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многопроцессорный-режим"/>
    <w:p>
      <w:pPr>
        <w:pStyle w:val="Heading1"/>
      </w:pPr>
      <w:r>
        <w:t xml:space="preserve">Многопроцессорный режим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USE_MULTY_PROCESSOR</w:t>
            </w:r>
          </w:p>
        </w:tc>
        <w:tc>
          <w:tcPr/>
          <w:p>
            <w:pPr>
              <w:pStyle w:val="Compact"/>
            </w:pPr>
            <w:r>
              <w:t xml:space="preserve">При значении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потоки сетевого чтения-записи и потоки процессов обработки распределяются по процессорам оптимальным образом.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Многопроцессорный режим</dc:title>
  <dc:creator/>
  <cp:keywords/>
  <dcterms:created xsi:type="dcterms:W3CDTF">2026-11-08T16:50:02Z</dcterms:created>
  <dcterms:modified xsi:type="dcterms:W3CDTF">2026-11-08T16:50:02Z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