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POLZV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polzv"/>
    <w:p>
      <w:pPr>
        <w:pStyle w:val="Heading1"/>
      </w:pPr>
      <w:r>
        <w:t xml:space="preserve">Назначение POLZV</w:t>
      </w:r>
    </w:p>
    <w:p>
      <w:pPr>
        <w:pStyle w:val="FirstParagraph"/>
      </w:pPr>
      <w:r>
        <w:rPr>
          <w:rStyle w:val="VerbatimChar"/>
        </w:rPr>
        <w:t xml:space="preserve">POLZV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. Он предназначен для хранения данных пользователя в контуре комплектования.</w:t>
      </w:r>
    </w:p>
    <w:p>
      <w:pPr>
        <w:pStyle w:val="BodyText"/>
      </w:pPr>
      <w:r>
        <w:t xml:space="preserve">Структура редактора задается рабочим листом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, а отображение записи обеспечивают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POLZV</dc:title>
  <dc:creator/>
  <cp:keywords/>
  <dcterms:created xsi:type="dcterms:W3CDTF">2026-11-08T12:11:50Z</dcterms:created>
  <dcterms:modified xsi:type="dcterms:W3CDTF">2026-11-08T12:11:50Z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