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Бесшовная авторизация в ЭБС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бесшовная-авторизация-в-эбс"/>
    <w:p>
      <w:pPr>
        <w:pStyle w:val="Heading1"/>
      </w:pPr>
      <w:r>
        <w:t xml:space="preserve">Бесшовная авторизация в ЭБС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RSU</w:t>
      </w:r>
      <w:r>
        <w:t xml:space="preserve"> </w:t>
      </w:r>
      <w:r>
        <w:t xml:space="preserve">ведет записи сетевых удаленных ресурсов в БД комплектования (</w:t>
      </w:r>
      <w:r>
        <w:rPr>
          <w:rStyle w:val="VerbatimChar"/>
        </w:rPr>
        <w:t xml:space="preserve">DBCMPL</w:t>
      </w:r>
      <w:r>
        <w:t xml:space="preserve">) как записи типа</w:t>
      </w:r>
      <w:r>
        <w:t xml:space="preserve"> </w:t>
      </w:r>
      <w:r>
        <w:rPr>
          <w:rStyle w:val="VerbatimChar"/>
        </w:rPr>
        <w:t xml:space="preserve">RSU</w:t>
      </w:r>
      <w:r>
        <w:t xml:space="preserve">. Эти записи используются для показа доступных ЭБС и формирования ссылок бесшовной авторизации для авторизованных пользователей.</w:t>
      </w:r>
    </w:p>
    <w:p>
      <w:pPr>
        <w:pStyle w:val="BodyText"/>
      </w:pPr>
      <w:r>
        <w:t xml:space="preserve">Для автоматического входа в ЭБС должны быть настроены:</w:t>
      </w:r>
    </w:p>
    <w:p>
      <w:pPr>
        <w:pStyle w:val="Compact"/>
        <w:numPr>
          <w:ilvl w:val="0"/>
          <w:numId w:val="1001"/>
        </w:numPr>
      </w:pPr>
      <w:r>
        <w:t xml:space="preserve">запись RSU в БД</w:t>
      </w:r>
      <w:r>
        <w:t xml:space="preserve"> </w:t>
      </w:r>
      <w:r>
        <w:rPr>
          <w:rStyle w:val="VerbatimChar"/>
        </w:rPr>
        <w:t xml:space="preserve">CMPL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связь библиографической записи каталога с номером RSU;</w:t>
      </w:r>
    </w:p>
    <w:p>
      <w:pPr>
        <w:pStyle w:val="Compact"/>
        <w:numPr>
          <w:ilvl w:val="0"/>
          <w:numId w:val="1001"/>
        </w:numPr>
      </w:pPr>
      <w:r>
        <w:t xml:space="preserve">индексы поиска по номеру RSU;</w:t>
      </w:r>
    </w:p>
    <w:p>
      <w:pPr>
        <w:pStyle w:val="Compact"/>
        <w:numPr>
          <w:ilvl w:val="0"/>
          <w:numId w:val="1001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ALLOWAUTOLOGIN</w:t>
      </w:r>
      <w:r>
        <w:t xml:space="preserve"> </w:t>
      </w:r>
      <w:r>
        <w:t xml:space="preserve">на запись ресурса, если ссылка формируется по конкретной записи RSU;</w:t>
      </w:r>
    </w:p>
    <w:p>
      <w:pPr>
        <w:pStyle w:val="Compact"/>
        <w:numPr>
          <w:ilvl w:val="0"/>
          <w:numId w:val="1001"/>
        </w:numPr>
      </w:pPr>
      <w:r>
        <w:t xml:space="preserve">параметры ЭБС: тип API, токен, ID/PID, хост и даты действия доступа.</w:t>
      </w:r>
    </w:p>
    <w:bookmarkStart w:id="9" w:name="запись-rsu-в-бд-cmpl"/>
    <w:p>
      <w:pPr>
        <w:pStyle w:val="Heading2"/>
      </w:pPr>
      <w:r>
        <w:t xml:space="preserve">1. Запись RSU в БД CMPL</w:t>
      </w:r>
    </w:p>
    <w:p>
      <w:pPr>
        <w:pStyle w:val="FirstParagraph"/>
      </w:pPr>
      <w:r>
        <w:t xml:space="preserve">Запись ресурса должна иметь тип</w:t>
      </w:r>
      <w:r>
        <w:t xml:space="preserve"> </w:t>
      </w:r>
      <w:r>
        <w:rPr>
          <w:rStyle w:val="VerbatimChar"/>
        </w:rPr>
        <w:t xml:space="preserve">RSU</w:t>
      </w:r>
      <w:r>
        <w:t xml:space="preserve">. При сохранении модуль добавляет служебные ключи</w:t>
      </w:r>
      <w:r>
        <w:t xml:space="preserve"> </w:t>
      </w:r>
      <w:r>
        <w:rPr>
          <w:rStyle w:val="VerbatimChar"/>
        </w:rPr>
        <w:t xml:space="preserve">RSU=&lt;номер&gt;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VD=RSU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Год и номер записи RSU. Используется для связи записи ресурса с библиографическими записями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</w:t>
            </w:r>
          </w:p>
        </w:tc>
        <w:tc>
          <w:tcPr/>
          <w:p>
            <w:pPr>
              <w:pStyle w:val="Compact"/>
            </w:pPr>
            <w:r>
              <w:t xml:space="preserve">Название ресурса.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</w:t>
            </w:r>
          </w:p>
        </w:tc>
        <w:tc>
          <w:tcPr/>
          <w:p>
            <w:pPr>
              <w:pStyle w:val="Compact"/>
            </w:pPr>
            <w:r>
              <w:t xml:space="preserve">Источник комплектования.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</w:t>
            </w:r>
          </w:p>
        </w:tc>
        <w:tc>
          <w:tcPr/>
          <w:p>
            <w:pPr>
              <w:pStyle w:val="Compact"/>
            </w:pPr>
            <w:r>
              <w:t xml:space="preserve">Имя БД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</w:t>
            </w:r>
          </w:p>
        </w:tc>
        <w:tc>
          <w:tcPr/>
          <w:p>
            <w:pPr>
              <w:pStyle w:val="Compact"/>
            </w:pPr>
            <w:r>
              <w:t xml:space="preserve">Дата начала доступа.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</w:t>
            </w:r>
          </w:p>
        </w:tc>
        <w:tc>
          <w:tcPr/>
          <w:p>
            <w:pPr>
              <w:pStyle w:val="Compact"/>
            </w:pPr>
            <w:r>
              <w:t xml:space="preserve">Дата окончания доступа.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</w:t>
            </w:r>
          </w:p>
        </w:tc>
        <w:tc>
          <w:tcPr/>
          <w:p>
            <w:pPr>
              <w:pStyle w:val="Compact"/>
            </w:pPr>
            <w:r>
              <w:t xml:space="preserve">Токен или секретный ключ, выданный ЭБС.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</w:t>
            </w:r>
          </w:p>
        </w:tc>
        <w:tc>
          <w:tcPr/>
          <w:p>
            <w:pPr>
              <w:pStyle w:val="Compact"/>
            </w:pPr>
            <w:r>
              <w:t xml:space="preserve">ID/PID, если он требуется конкретной ЭБС.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</w:t>
            </w:r>
          </w:p>
        </w:tc>
        <w:tc>
          <w:tcPr/>
          <w:p>
            <w:pPr>
              <w:pStyle w:val="Compact"/>
            </w:pPr>
            <w:r>
              <w:t xml:space="preserve">Тип API ЭБС.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</w:t>
            </w:r>
          </w:p>
        </w:tc>
        <w:tc>
          <w:tcPr/>
          <w:p>
            <w:pPr>
              <w:pStyle w:val="Compact"/>
            </w:pPr>
            <w:r>
              <w:t xml:space="preserve">Хост/домен, от имени которого выполняется авторизация.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331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Описание ЭБС, выводимое в личном кабинете или списке ресурсов.</w:t>
            </w:r>
          </w:p>
        </w:tc>
      </w:tr>
    </w:tbl>
    <w:p>
      <w:pPr>
        <w:pStyle w:val="BodyText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нужен индекс связи по номеру RSU:</w:t>
      </w:r>
    </w:p>
    <w:p>
      <w:pPr>
        <w:pStyle w:val="SourceCode"/>
      </w:pPr>
      <w:r>
        <w:rPr>
          <w:rStyle w:val="VerbatimChar"/>
        </w:rPr>
        <w:t xml:space="preserve">881 0 if v920='RSU' then "RSU="v881^A fi/</w:t>
      </w:r>
    </w:p>
    <w:p>
      <w:pPr>
        <w:pStyle w:val="FirstParagraph"/>
      </w:pPr>
      <w:r>
        <w:t xml:space="preserve">Стандартный поиск всех записей RSU выполняется по запросу:</w:t>
      </w:r>
    </w:p>
    <w:p>
      <w:pPr>
        <w:pStyle w:val="SourceCode"/>
      </w:pPr>
      <w:r>
        <w:rPr>
          <w:rStyle w:val="VerbatimChar"/>
        </w:rPr>
        <w:t xml:space="preserve">"VD=RSU"</w:t>
      </w:r>
    </w:p>
    <w:bookmarkEnd w:id="9"/>
    <w:bookmarkStart w:id="10" w:name="связь-с-каталогом"/>
    <w:p>
      <w:pPr>
        <w:pStyle w:val="Heading2"/>
      </w:pPr>
      <w:r>
        <w:t xml:space="preserve">2. Связь с каталогом</w:t>
      </w:r>
    </w:p>
    <w:p>
      <w:pPr>
        <w:pStyle w:val="FirstParagraph"/>
      </w:pPr>
      <w:r>
        <w:t xml:space="preserve">В библиографической записи каталога связь с ресурсом хранится в поле</w:t>
      </w:r>
      <w:r>
        <w:t xml:space="preserve"> </w:t>
      </w:r>
      <w:r>
        <w:rPr>
          <w:rStyle w:val="VerbatimChar"/>
        </w:rPr>
        <w:t xml:space="preserve">951</w:t>
      </w:r>
      <w:r>
        <w:t xml:space="preserve">, подполе</w:t>
      </w:r>
      <w:r>
        <w:t xml:space="preserve"> </w:t>
      </w:r>
      <w:r>
        <w:rPr>
          <w:rStyle w:val="VerbatimChar"/>
        </w:rPr>
        <w:t xml:space="preserve">U</w:t>
      </w:r>
      <w:r>
        <w:t xml:space="preserve">. В нем указывается номер сетевого ресурса RSU.</w:t>
      </w:r>
    </w:p>
    <w:p>
      <w:pPr>
        <w:pStyle w:val="BodyText"/>
      </w:pPr>
      <w:r>
        <w:t xml:space="preserve">Для каталога нужен индекс:</w:t>
      </w:r>
    </w:p>
    <w:p>
      <w:pPr>
        <w:pStyle w:val="SourceCode"/>
      </w:pPr>
      <w:r>
        <w:rPr>
          <w:rStyle w:val="VerbatimChar"/>
        </w:rPr>
        <w:t xml:space="preserve">951 0 (if p(v951) then |NRSU=|v951^U fi/)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ibis.ifs</w:t>
      </w:r>
      <w:r>
        <w:t xml:space="preserve"> </w:t>
      </w:r>
      <w:r>
        <w:t xml:space="preserve">используется аналогичное правило:</w:t>
      </w:r>
    </w:p>
    <w:p>
      <w:pPr>
        <w:pStyle w:val="SourceCode"/>
      </w:pPr>
      <w:r>
        <w:rPr>
          <w:rStyle w:val="VerbatimChar"/>
        </w:rPr>
        <w:t xml:space="preserve">951,951 0 (if p(v951) then |NRSU=|v951^U fi/)</w:t>
      </w:r>
    </w:p>
    <w:p>
      <w:pPr>
        <w:pStyle w:val="FirstParagraph"/>
      </w:pPr>
      <w:r>
        <w:t xml:space="preserve">При показе полного описания записи электронного каталога ссылка на внешний объект может быть заменена на URL бесшовной авторизации, если пользователь вошел в систему и запись связана с RSU через</w:t>
      </w:r>
      <w:r>
        <w:t xml:space="preserve"> </w:t>
      </w:r>
      <w:r>
        <w:rPr>
          <w:rStyle w:val="VerbatimChar"/>
        </w:rPr>
        <w:t xml:space="preserve">951^U</w:t>
      </w:r>
      <w:r>
        <w:t xml:space="preserve">.</w:t>
      </w:r>
    </w:p>
    <w:bookmarkEnd w:id="10"/>
    <w:bookmarkStart w:id="11" w:name="поддерживаемые-типы-api"/>
    <w:p>
      <w:pPr>
        <w:pStyle w:val="Heading2"/>
      </w:pPr>
      <w:r>
        <w:t xml:space="preserve">3. Поддерживаемые типы API</w:t>
      </w:r>
    </w:p>
    <w:p>
      <w:pPr>
        <w:pStyle w:val="FirstParagraph"/>
      </w:pPr>
      <w:r>
        <w:t xml:space="preserve">Тип API задается в</w:t>
      </w:r>
      <w:r>
        <w:t xml:space="preserve"> </w:t>
      </w:r>
      <w:r>
        <w:rPr>
          <w:rStyle w:val="VerbatimChar"/>
        </w:rPr>
        <w:t xml:space="preserve">882^S</w:t>
      </w:r>
      <w:r>
        <w:t xml:space="preserve">. Текущий код</w:t>
      </w:r>
      <w:r>
        <w:t xml:space="preserve"> </w:t>
      </w:r>
      <w:r>
        <w:rPr>
          <w:rStyle w:val="VerbatimChar"/>
        </w:rPr>
        <w:t xml:space="preserve">RSU/GetEBS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RSU/GetAutoAuthUrl</w:t>
      </w:r>
      <w:r>
        <w:t xml:space="preserve"> </w:t>
      </w:r>
      <w:r>
        <w:t xml:space="preserve">поддерживает следующие значения: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  <w:r>
              <w:t xml:space="preserve"> </w:t>
            </w:r>
            <w:r>
              <w:rPr>
                <w:rStyle w:val="VerbatimChar"/>
              </w:rPr>
              <w:t xml:space="preserve">882^S</w:t>
            </w:r>
          </w:p>
        </w:tc>
        <w:tc>
          <w:tcPr/>
          <w:p>
            <w:pPr>
              <w:pStyle w:val="Compact"/>
            </w:pPr>
            <w:r>
              <w:t xml:space="preserve">ЭБС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ibooks</w:t>
            </w:r>
          </w:p>
        </w:tc>
        <w:tc>
          <w:tcPr/>
          <w:p>
            <w:pPr>
              <w:pStyle w:val="Compact"/>
            </w:pPr>
            <w:r>
              <w:t xml:space="preserve">iBooks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iprbooks</w:t>
            </w:r>
          </w:p>
        </w:tc>
        <w:tc>
          <w:tcPr/>
          <w:p>
            <w:pPr>
              <w:pStyle w:val="Compact"/>
            </w:pPr>
            <w:r>
              <w:t xml:space="preserve">IPRBooks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biblioclub</w:t>
            </w:r>
          </w:p>
        </w:tc>
        <w:tc>
          <w:tcPr/>
          <w:p>
            <w:pPr>
              <w:pStyle w:val="Compact"/>
            </w:pPr>
            <w:r>
              <w:t xml:space="preserve">Университетская библиотека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</w:t>
            </w:r>
          </w:p>
        </w:tc>
        <w:tc>
          <w:tcPr/>
          <w:p>
            <w:pPr>
              <w:pStyle w:val="Compact"/>
            </w:pPr>
            <w:r>
              <w:t xml:space="preserve">BOOK.RU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grebennikov</w:t>
            </w:r>
          </w:p>
        </w:tc>
        <w:tc>
          <w:tcPr/>
          <w:p>
            <w:pPr>
              <w:pStyle w:val="Compact"/>
            </w:pPr>
            <w:r>
              <w:t xml:space="preserve">ИД Гребенников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polpred</w:t>
            </w:r>
          </w:p>
        </w:tc>
        <w:tc>
          <w:tcPr/>
          <w:p>
            <w:pPr>
              <w:pStyle w:val="Compact"/>
            </w:pPr>
            <w:r>
              <w:t xml:space="preserve">Polpred.com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urite</w:t>
            </w:r>
          </w:p>
        </w:tc>
        <w:tc>
          <w:tcPr/>
          <w:p>
            <w:pPr>
              <w:pStyle w:val="Compact"/>
            </w:pPr>
            <w:r>
              <w:t xml:space="preserve">ЮРАЙТ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znanium</w:t>
            </w:r>
          </w:p>
        </w:tc>
        <w:tc>
          <w:tcPr/>
          <w:p>
            <w:pPr>
              <w:pStyle w:val="Compact"/>
            </w:pPr>
            <w:r>
              <w:t xml:space="preserve">Znanium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lan</w:t>
            </w:r>
          </w:p>
        </w:tc>
        <w:tc>
          <w:tcPr/>
          <w:p>
            <w:pPr>
              <w:pStyle w:val="Compact"/>
            </w:pPr>
            <w:r>
              <w:t xml:space="preserve">Лань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lan2</w:t>
            </w:r>
          </w:p>
        </w:tc>
        <w:tc>
          <w:tcPr/>
          <w:p>
            <w:pPr>
              <w:pStyle w:val="Compact"/>
            </w:pPr>
            <w:r>
              <w:t xml:space="preserve">Лань, новый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student</w:t>
            </w:r>
          </w:p>
        </w:tc>
        <w:tc>
          <w:tcPr/>
          <w:p>
            <w:pPr>
              <w:pStyle w:val="Compact"/>
            </w:pPr>
            <w:r>
              <w:t xml:space="preserve">Консультант студента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vrach</w:t>
            </w:r>
          </w:p>
        </w:tc>
        <w:tc>
          <w:tcPr/>
          <w:p>
            <w:pPr>
              <w:pStyle w:val="Compact"/>
            </w:pPr>
            <w:r>
              <w:t xml:space="preserve">Консультант врача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tntebook</w:t>
            </w:r>
          </w:p>
        </w:tc>
        <w:tc>
          <w:tcPr/>
          <w:p>
            <w:pPr>
              <w:pStyle w:val="Compact"/>
            </w:pPr>
            <w:r>
              <w:t xml:space="preserve">ТНТ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umczdt</w:t>
            </w:r>
          </w:p>
        </w:tc>
        <w:tc>
          <w:tcPr/>
          <w:p>
            <w:pPr>
              <w:pStyle w:val="Compact"/>
            </w:pPr>
            <w:r>
              <w:t xml:space="preserve">УМЦ ЖДТ</w:t>
            </w:r>
          </w:p>
        </w:tc>
      </w:tr>
    </w:tbl>
    <w:p>
      <w:pPr>
        <w:pStyle w:val="BodyText"/>
      </w:pPr>
      <w:r>
        <w:t xml:space="preserve">Если тип API не распознан, ссылка не формируется.</w:t>
      </w:r>
    </w:p>
    <w:bookmarkEnd w:id="11"/>
    <w:bookmarkStart w:id="12" w:name="данные-пользователя"/>
    <w:p>
      <w:pPr>
        <w:pStyle w:val="Heading2"/>
      </w:pPr>
      <w:r>
        <w:t xml:space="preserve">4. Данные пользователя</w:t>
      </w:r>
    </w:p>
    <w:p>
      <w:pPr>
        <w:pStyle w:val="FirstParagraph"/>
      </w:pPr>
      <w:r>
        <w:t xml:space="preserve">Для формирования ссылки используются данные текущего авторизованного пользователя из БД читателей: поля</w:t>
      </w:r>
      <w:r>
        <w:t xml:space="preserve"> </w:t>
      </w:r>
      <w:r>
        <w:rPr>
          <w:rStyle w:val="VerbatimChar"/>
        </w:rPr>
        <w:t xml:space="preserve">10</w:t>
      </w:r>
      <w:r>
        <w:t xml:space="preserve">,</w:t>
      </w:r>
      <w:r>
        <w:t xml:space="preserve"> </w:t>
      </w:r>
      <w:r>
        <w:rPr>
          <w:rStyle w:val="VerbatimChar"/>
        </w:rPr>
        <w:t xml:space="preserve">11</w:t>
      </w:r>
      <w:r>
        <w:t xml:space="preserve">,</w:t>
      </w:r>
      <w:r>
        <w:t xml:space="preserve"> </w:t>
      </w:r>
      <w:r>
        <w:rPr>
          <w:rStyle w:val="VerbatimChar"/>
        </w:rPr>
        <w:t xml:space="preserve">12</w:t>
      </w:r>
      <w:r>
        <w:t xml:space="preserve">,</w:t>
      </w:r>
      <w:r>
        <w:t xml:space="preserve"> </w:t>
      </w:r>
      <w:r>
        <w:rPr>
          <w:rStyle w:val="VerbatimChar"/>
        </w:rPr>
        <w:t xml:space="preserve">23</w:t>
      </w:r>
      <w:r>
        <w:t xml:space="preserve">,</w:t>
      </w:r>
      <w:r>
        <w:t xml:space="preserve"> </w:t>
      </w:r>
      <w:r>
        <w:rPr>
          <w:rStyle w:val="VerbatimChar"/>
        </w:rPr>
        <w:t xml:space="preserve">30</w:t>
      </w:r>
      <w:r>
        <w:t xml:space="preserve">,</w:t>
      </w:r>
      <w:r>
        <w:t xml:space="preserve"> </w:t>
      </w:r>
      <w:r>
        <w:rPr>
          <w:rStyle w:val="VerbatimChar"/>
        </w:rPr>
        <w:t xml:space="preserve">32</w:t>
      </w:r>
      <w:r>
        <w:t xml:space="preserve">,</w:t>
      </w:r>
      <w:r>
        <w:t xml:space="preserve"> </w:t>
      </w:r>
      <w:r>
        <w:rPr>
          <w:rStyle w:val="VerbatimChar"/>
        </w:rPr>
        <w:t xml:space="preserve">50</w:t>
      </w:r>
      <w:r>
        <w:t xml:space="preserve">. Для некоторых ЭБС значение поля</w:t>
      </w:r>
      <w:r>
        <w:t xml:space="preserve"> </w:t>
      </w:r>
      <w:r>
        <w:rPr>
          <w:rStyle w:val="VerbatimChar"/>
        </w:rPr>
        <w:t xml:space="preserve">50</w:t>
      </w:r>
      <w:r>
        <w:t xml:space="preserve"> </w:t>
      </w:r>
      <w:r>
        <w:t xml:space="preserve">дополнительно нормализуется в категорию</w:t>
      </w:r>
      <w:r>
        <w:t xml:space="preserve"> </w:t>
      </w:r>
      <w:r>
        <w:rPr>
          <w:rStyle w:val="VerbatimChar"/>
        </w:rPr>
        <w:t xml:space="preserve">st</w:t>
      </w:r>
      <w:r>
        <w:t xml:space="preserve">,</w:t>
      </w:r>
      <w:r>
        <w:t xml:space="preserve"> </w:t>
      </w:r>
      <w:r>
        <w:rPr>
          <w:rStyle w:val="VerbatimChar"/>
        </w:rPr>
        <w:t xml:space="preserve">bib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pr</w:t>
      </w:r>
      <w:r>
        <w:t xml:space="preserve">.</w:t>
      </w:r>
    </w:p>
    <w:p>
      <w:pPr>
        <w:pStyle w:val="BodyText"/>
      </w:pPr>
      <w:r>
        <w:t xml:space="preserve">Если пользователь не вошел в систему, БД читателей или БД комплектования не открыта, модуль не сможет сформировать список доступных ЭБС или ссылку бесшовной авторизации.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Бесшовная авторизация в ЭБС</dc:title>
  <dc:creator/>
  <cp:keywords/>
  <dcterms:created xsi:type="dcterms:W3CDTF">2026-11-04T15:42:51Z</dcterms:created>
  <dcterms:modified xsi:type="dcterms:W3CDTF">2026-11-04T15:42:51Z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