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[I128-1808] 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808-порционная-рассылка-e-mail"/>
    <w:p>
      <w:pPr>
        <w:pStyle w:val="Heading1"/>
      </w:pPr>
      <w:r>
        <w:t xml:space="preserve">[I128-1808] Порционная рассылка E-mail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i128f/Distr/MailPortion</w:t>
      </w:r>
      <w:r>
        <w:t xml:space="preserve"> </w:t>
      </w:r>
      <w:r>
        <w:t xml:space="preserve">- описание технологии порционной рассылки E-mail: назначение, сценарии применения, параметры</w:t>
      </w:r>
      <w:r>
        <w:t xml:space="preserve"> </w:t>
      </w:r>
      <w:r>
        <w:rPr>
          <w:rStyle w:val="VerbatimChar"/>
        </w:rPr>
        <w:t xml:space="preserve">[MAIN](MAIN)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MailPortionInterval</w:t>
      </w:r>
      <w:r>
        <w:t xml:space="preserve">, запуск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 </w:t>
      </w:r>
      <w:r>
        <w:t xml:space="preserve">и пользовательские сообщения о ходе отправки.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 переход к новой странице о порционной рассылке.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добавлена ссылка из раздела настройки почтовых уведомлений АРМ «Книговыдача».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Iri/Purpose</w:t>
      </w:r>
      <w:r>
        <w:t xml:space="preserve"> </w:t>
      </w:r>
      <w:r>
        <w:t xml:space="preserve">- добавлена ссылка из описания массовой отправки пользователям ИРИ.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как использовать порционную рассылку E-mail при массовой отправке уведомлений читателям и рассылках ИРИ. Описаны размер порции, задержка между порциями и поведение отправки через отдельную программу, которая не блокирует работу АРМ «Книговыдача».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5"/>
    <w:p>
      <w:pPr>
        <w:pStyle w:val="Heading3"/>
      </w:pPr>
      <w:r>
        <w:t xml:space="preserve">1.1. 🔗 Соответствует задача: I128-1605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[I128-1605]</w:t>
        </w:r>
      </w:hyperlink>
      <w:r>
        <w:t xml:space="preserve"> </w:t>
      </w:r>
      <w:r>
        <w:t xml:space="preserve">Технология ПОРЦИОННОЙ РАССЫЛКИ E-MAIL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[I128-1808] Порционная рассылка E-mail</dc:title>
  <dc:creator/>
  <cp:keywords/>
  <dcterms:created xsi:type="dcterms:W3CDTF">2026-10-31T06:06:57Z</dcterms:created>
  <dcterms:modified xsi:type="dcterms:W3CDTF">2026-10-31T06:06:57Z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