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&amp;uf(’+1K… - Групповая мультираскодировка переменных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61e7dac07eb8eec54743cebb57b2388a2a02e42"/>
    <w:p>
      <w:pPr>
        <w:pStyle w:val="Heading1"/>
      </w:pPr>
      <w:r>
        <w:t xml:space="preserve">&amp;uf(’+1K… - Групповая мультираскодировка переменных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Групповая мультираскодировка переменных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+1K&lt;MNU&gt;|NNN,nnn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NNN – номер первой или единственной переменной;</w:t>
      </w:r>
      <w:r>
        <w:t xml:space="preserve"> </w:t>
      </w:r>
      <w:r>
        <w:t xml:space="preserve">* nnn – кол-во переменных (по умолчанию 1)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&amp;unifor('+1Kmhr.mnu|100,10')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&amp;uf(’+1K… - Групповая мультираскодировка переменных</dc:title>
  <dc:creator/>
  <cp:keywords/>
  <dcterms:created xsi:type="dcterms:W3CDTF">2026-11-01T11:48:47Z</dcterms:created>
  <dcterms:modified xsi:type="dcterms:W3CDTF">2026-11-01T11:48:47Z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