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[I128-2697] Кнопка клиентского действия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7e66633255600cf5e7271428cac3f8e31670b"/>
    <w:p>
      <w:pPr>
        <w:pStyle w:val="Heading1"/>
      </w:pPr>
      <w:r>
        <w:t xml:space="preserve">[I128-2697] Кнопка клиентского действия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Редактор записи сможет показывать кнопку, которая выполняет клиентский ExtJS handler без сохранения отдельного поля в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объявляет поле с FieldEditor=ClientButton и передает текст, подсказку и handler. Редактор выводит кнопку в форме, handler может заполнить существующие поля формы или выполнить другое локальное действие.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Новый тип поля не влияет на существующие редакторы и не записывает значение в запись. Он используется только при явном FieldEditor=ClientButton.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2697: Кнопка клиентского действия в редакторе записи. Scope: he2;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feature/I128~~2697~~he2~~client~~button~~field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Кнопка клиентского действия в редакторе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modules/he2/FieldTypes/ClientButton.field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+51/-0.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Кнопка клиентского действия в редакторе записи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[I128-2697] Кнопка клиентского действия в редакторе записи</dc:title>
  <dc:creator/>
  <cp:keywords/>
  <dcterms:created xsi:type="dcterms:W3CDTF">2026-11-01T20:13:54Z</dcterms:created>
  <dcterms:modified xsi:type="dcterms:W3CDTF">2026-11-01T20:13:54Z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