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организации"/>
    <w:p>
      <w:pPr>
        <w:pStyle w:val="Heading1"/>
      </w:pPr>
      <w:r>
        <w:t xml:space="preserve">Организации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ведет записи организаций и хранит настройки, которые связывают организацию с каталогами, пользователями и прикладными подсистемами ИРБИС 128.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хранение карточки организации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организаций по сигле, названию, статусу, региону и внешним идентификаторам;</w:t>
      </w:r>
    </w:p>
    <w:p>
      <w:pPr>
        <w:pStyle w:val="Compact"/>
        <w:numPr>
          <w:ilvl w:val="0"/>
          <w:numId w:val="1001"/>
        </w:numPr>
      </w:pPr>
      <w:r>
        <w:t xml:space="preserve">привязка баз данных организации и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организационного контекста заявителя и контактных лиц для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настройки обмена с электронным каталогом, читателями, ЭДД и каталогизацией экземплярами;</w:t>
      </w:r>
    </w:p>
    <w:p>
      <w:pPr>
        <w:pStyle w:val="Compact"/>
        <w:numPr>
          <w:ilvl w:val="0"/>
          <w:numId w:val="1001"/>
        </w:numPr>
      </w:pPr>
      <w:r>
        <w:t xml:space="preserve">подготовка сведений для сводных каталогов, картографического отображения и служебных интеграций;</w:t>
      </w:r>
    </w:p>
    <w:p>
      <w:pPr>
        <w:pStyle w:val="Compact"/>
        <w:numPr>
          <w:ilvl w:val="0"/>
          <w:numId w:val="1001"/>
        </w:numPr>
      </w:pPr>
      <w:r>
        <w:t xml:space="preserve">создание профиля книговыдачи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для организации.</w:t>
      </w:r>
    </w:p>
    <w:bookmarkEnd w:id="9"/>
    <w:bookmarkStart w:id="14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2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2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2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2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2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10"/>
    <w:bookmarkStart w:id="12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3"/>
    <w:bookmarkEnd w:id="14"/>
    <w:bookmarkStart w:id="19" w:name="поиск-организаций-по-адресу"/>
    <w:p>
      <w:pPr>
        <w:pStyle w:val="Heading2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15" w:name="адресные-поля"/>
    <w:p>
      <w:pPr>
        <w:pStyle w:val="Heading3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15"/>
    <w:bookmarkStart w:id="16" w:name="поисковые-атрибуты"/>
    <w:p>
      <w:pPr>
        <w:pStyle w:val="Heading3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6"/>
    <w:bookmarkStart w:id="17" w:name="поиск-по-ключевым-словам"/>
    <w:p>
      <w:pPr>
        <w:pStyle w:val="Heading3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5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5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совпадает ли введенное значение с тем, как адрес записан в карточке.</w:t>
      </w:r>
    </w:p>
    <w:bookmarkEnd w:id="17"/>
    <w:bookmarkStart w:id="18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6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6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6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8"/>
    <w:bookmarkEnd w:id="19"/>
    <w:bookmarkStart w:id="20" w:name="организационный-контекст-заявителя"/>
    <w:p>
      <w:pPr>
        <w:pStyle w:val="Heading2"/>
      </w:pPr>
      <w:r>
        <w:t xml:space="preserve">Организационный контекст заявителя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предоставляет организационную часть resolver заявителя. Модуль нормализует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возвращает ее ключ, наименование, статус, контактных лиц и объяснимую причину отказа для удаленных, неактивных или объединенных организаций.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Organisations/ResolveOrganisationContext</w:t>
      </w:r>
      <w:r>
        <w:t xml:space="preserve"> </w:t>
      </w:r>
      <w:r>
        <w:t xml:space="preserve">принимает собственный ID организации или уже загруженную запись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 </w:t>
      </w:r>
      <w:r>
        <w:t xml:space="preserve">и возвращает безопасный контекст организации.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Organisations/CanApplicantActForOrganisation</w:t>
      </w:r>
      <w:r>
        <w:t xml:space="preserve"> </w:t>
      </w:r>
      <w:r>
        <w:t xml:space="preserve">проверяет организационную связь заявителя:</w:t>
      </w:r>
    </w:p>
    <w:p>
      <w:pPr>
        <w:pStyle w:val="Compact"/>
        <w:numPr>
          <w:ilvl w:val="0"/>
          <w:numId w:val="1007"/>
        </w:numPr>
      </w:pPr>
      <w:r>
        <w:t xml:space="preserve">связь пользователя с организацией;</w:t>
      </w:r>
    </w:p>
    <w:p>
      <w:pPr>
        <w:pStyle w:val="Compact"/>
        <w:numPr>
          <w:ilvl w:val="0"/>
          <w:numId w:val="1007"/>
        </w:numPr>
      </w:pPr>
      <w:r>
        <w:t xml:space="preserve">активное делегирование;</w:t>
      </w:r>
    </w:p>
    <w:p>
      <w:pPr>
        <w:pStyle w:val="Compact"/>
        <w:numPr>
          <w:ilvl w:val="0"/>
          <w:numId w:val="1007"/>
        </w:numPr>
      </w:pPr>
      <w:r>
        <w:t xml:space="preserve">роль представителя организации;</w:t>
      </w:r>
    </w:p>
    <w:p>
      <w:pPr>
        <w:pStyle w:val="Compact"/>
        <w:numPr>
          <w:ilvl w:val="0"/>
          <w:numId w:val="1007"/>
        </w:numPr>
      </w:pPr>
      <w:r>
        <w:t xml:space="preserve">совпадение подтвержденного внешнего контакта с контактами организации.</w:t>
      </w:r>
    </w:p>
    <w:p>
      <w:pPr>
        <w:pStyle w:val="FirstParagraph"/>
      </w:pPr>
      <w:r>
        <w:t xml:space="preserve">Эта проверка не заменяет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отвечает только на вопрос, есть ли у заявителя объяснимая организационная связь. Окончательные права на просмотр, создание, изменение записи и выполнение действия проверяются стандартным механизмом прав.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modules/Organisations/system/applicant_resolver.json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</dc:title>
  <dc:creator/>
  <cp:keywords/>
  <dcterms:created xsi:type="dcterms:W3CDTF">2026-10-27T17:17:32Z</dcterms:created>
  <dcterms:modified xsi:type="dcterms:W3CDTF">2026-10-27T17:17:32Z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