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поступления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поступления-за-период"/>
    <w:p>
      <w:pPr>
        <w:pStyle w:val="Heading1"/>
      </w:pPr>
      <w:r>
        <w:t xml:space="preserve">КСУ поступления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хранит записи КСУ поступления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p"/>
    <w:p>
      <w:pPr>
        <w:pStyle w:val="Heading2"/>
      </w:pPr>
      <w:r>
        <w:t xml:space="preserve">Назначение KSFP</w:t>
      </w:r>
    </w:p>
    <w:p>
      <w:pPr>
        <w:pStyle w:val="FirstParagraph"/>
      </w:pPr>
      <w:r>
        <w:rPr>
          <w:rStyle w:val="VerbatimChar"/>
        </w:rPr>
        <w:t xml:space="preserve">KSFP</w:t>
      </w:r>
      <w:r>
        <w:t xml:space="preserve"> </w:t>
      </w:r>
      <w:r>
        <w:t xml:space="preserve">является карточным модулем для записей книги суммарного учета поступления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KSFP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поступления за период</dc:title>
  <dc:creator/>
  <cp:keywords/>
  <dcterms:created xsi:type="dcterms:W3CDTF">2026-10-31T18:04:53Z</dcterms:created>
  <dcterms:modified xsi:type="dcterms:W3CDTF">2026-10-31T18:04:53Z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