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[I128-2387] Документировать ссылки по статьям и номерам журналов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01a912e39184b5cd76959604f65fe5095dcad"/>
    <w:p>
      <w:pPr>
        <w:pStyle w:val="Heading1"/>
      </w:pPr>
      <w:r>
        <w:t xml:space="preserve">[I128-2387] Документировать ссылки по статьям и номерам журналов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18:31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в описании таблицы слияний добавлено пояснение по ссылкам и фильтрам для связанных шифров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в таблице слияний можно открыть связанные записи журнала, номера журнала или статьи в Электронном каталоге, а также отфильтровать таблицу по выбранному шифру через служебные ссылки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9"/>
    <w:p>
      <w:pPr>
        <w:pStyle w:val="Heading3"/>
      </w:pPr>
      <w:r>
        <w:t xml:space="preserve">1.1. 🔗 Соответствует задача: I128-2369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[I128-2369]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[I128-2387] Документировать ссылки по статьям и номерам журналов в таблице слияний</dc:title>
  <dc:creator/>
  <cp:keywords/>
  <dcterms:created xsi:type="dcterms:W3CDTF">2026-10-29T23:13:00Z</dcterms:created>
  <dcterms:modified xsi:type="dcterms:W3CDTF">2026-10-29T23:13:00Z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