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[I128-1804] Параметр AccessDel для удаления отмеченных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4ee7c0a4cc811103291f46d6fce01e6ef8af4"/>
    <w:p>
      <w:pPr>
        <w:pStyle w:val="Heading1"/>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11" w:name="связанные-задачи"/>
    <w:p>
      <w:pPr>
        <w:pStyle w:val="Heading2"/>
      </w:pPr>
      <w:r>
        <w:t xml:space="preserve">1. Связанные задачи</w:t>
      </w:r>
    </w:p>
    <w:bookmarkStart w:id="10" w:name="соответствует-задача-i128-1802"/>
    <w:p>
      <w:pPr>
        <w:pStyle w:val="Heading3"/>
      </w:pPr>
      <w:r>
        <w:t xml:space="preserve">1.1. 🔗 Соответствует задача: I128-1802</w:t>
      </w:r>
    </w:p>
    <w:p>
      <w:pPr>
        <w:pStyle w:val="BlockText"/>
      </w:pPr>
      <w:hyperlink r:id="rId9">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8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8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[I128-1804] Параметр AccessDel для удаления отмеченных полей</dc:title>
  <dc:creator/>
  <cp:keywords/>
  <dcterms:created xsi:type="dcterms:W3CDTF">2026-10-30T22:51:40Z</dcterms:created>
  <dcterms:modified xsi:type="dcterms:W3CDTF">2026-10-30T22:51:40Z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