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[I128-2504] Формы ввода he2: SID и связи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ffb7b51c461d57fd36bdd125f5098de12cb94"/>
    <w:p>
      <w:pPr>
        <w:pStyle w:val="Heading1"/>
      </w:pPr>
      <w:r>
        <w:t xml:space="preserve">[I128-2504] Формы ввода he2: SID и связи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SID новой или редактируемой записи и связи с родительским объектом создаются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$r-&gt;SetSid()</w:t>
      </w:r>
      <w:r>
        <w:t xml:space="preserve">, ручную установку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Set113()</w:t>
      </w:r>
      <w:r>
        <w:t xml:space="preserve"> </w:t>
      </w:r>
      <w:r>
        <w:t xml:space="preserve">и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объектных связей —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. Поведение старого редактора форм не меняется: создание связанных записей, открытие редактора по SID/MFN и сохранение связи с родительским объектом продолжают работать, но служебные поля создаются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modules/he2/Actions/GetEditFormItemsJsonCreateLinked.inc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modules/he2/*_call/InitEditor.inc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modules/he2/api.php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modules/he2/*_call/ShowHtml.inc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UseModule('Security')-&gt;MaterializeLink()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формами ввода не меняется, исправляется внутренний способ записи SID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[I128-2504] Формы ввода he2: SID и связи создаются через Security</dc:title>
  <dc:creator/>
  <cp:keywords/>
  <dcterms:created xsi:type="dcterms:W3CDTF">2026-11-02T16:46:44Z</dcterms:created>
  <dcterms:modified xsi:type="dcterms:W3CDTF">2026-11-02T16:46:44Z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