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WorkflowViewScheme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назначение-workflowviewscheme"/>
    <w:p>
      <w:pPr>
        <w:pStyle w:val="Heading1"/>
      </w:pPr>
      <w:r>
        <w:t xml:space="preserve">Назначение WorkflowViewScheme</w:t>
      </w:r>
    </w:p>
    <w:p>
      <w:pPr>
        <w:pStyle w:val="FirstParagraph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связывает тип записи и ключ страницы с представлением списка, карточки, формы создания, внешней страницы или доски. Благодаря этому один и тот же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может обслуживать разные интерфейсы проекта.</w:t>
      </w:r>
    </w:p>
    <w:p>
      <w:pPr>
        <w:pStyle w:val="BodyText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является источником состава верхней навигации проекта: пункт меню появляется только тогда, когда соответствующий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включен в активную схему представлений.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этого пункта, но сама по себе не публикует страницу в меню.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viewscheme"/>
    <w:p>
      <w:pPr>
        <w:pStyle w:val="Heading2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9" w:name="запись-workflowviewscheme"/>
    <w:p>
      <w:pPr>
        <w:pStyle w:val="Heading3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представление"/>
    <w:p>
      <w:pPr>
        <w:pStyle w:val="Heading3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0"/>
    <w:bookmarkStart w:id="11" w:name="использование"/>
    <w:p>
      <w:pPr>
        <w:pStyle w:val="Heading3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WorkflowViewScheme</dc:title>
  <dc:creator/>
  <cp:keywords/>
  <dcterms:created xsi:type="dcterms:W3CDTF">2026-10-30T17:45:11Z</dcterms:created>
  <dcterms:modified xsi:type="dcterms:W3CDTF">2026-10-30T17:45:11Z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