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Указатель УДК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указатель-удк"/>
    <w:p>
      <w:pPr>
        <w:pStyle w:val="Heading1"/>
      </w:pPr>
      <w:r>
        <w:t xml:space="preserve">Указатель УДК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ATHRU</w:t>
      </w:r>
      <w:r>
        <w:t xml:space="preserve"> </w:t>
      </w:r>
      <w:r>
        <w:t xml:space="preserve">ведёт записи указателя УДК.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, отображаются через форматы модуля и участвуют в подборе классификационных значений.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t xml:space="preserve">База указателя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GetUdcNodes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записи указателя.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 </w:t>
      </w:r>
      <w:r>
        <w:t xml:space="preserve">используются как контролируемый справочник классификационных рубрик УДК.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Указатель УДК</dc:title>
  <dc:creator/>
  <cp:keywords/>
  <dcterms:created xsi:type="dcterms:W3CDTF">2026-10-31T13:55:51Z</dcterms:created>
  <dcterms:modified xsi:type="dcterms:W3CDTF">2026-10-31T13:55:51Z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