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ATHRA</w:t>
      </w:r>
      <w:r>
        <w:t xml:space="preserve"> </w:t>
      </w:r>
      <w:r>
        <w:t xml:space="preserve">ведёт авторитетные записи индивидуальных авторов.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, открываются через полевой редактор и могут использоваться при нормализации библиографических записей.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DBATHRA</w:t>
            </w:r>
          </w:p>
        </w:tc>
        <w:tc>
          <w:tcPr/>
          <w:p>
            <w:pPr>
              <w:pStyle w:val="Compact"/>
            </w:pPr>
            <w:r>
              <w:t xml:space="preserve">База авторитетного файла индивидуальных авторов.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поиска, используемый для подбора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GetNewAthra</w:t>
            </w:r>
          </w:p>
        </w:tc>
        <w:tc>
          <w:tcPr/>
          <w:p>
            <w:pPr>
              <w:pStyle w:val="Compact"/>
            </w:pPr>
            <w:r>
              <w:t xml:space="preserve">Действие для создания или подбора новой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Краткое, полное и специализированное отображение авторитетной записи.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 </w:t>
      </w:r>
      <w:r>
        <w:t xml:space="preserve">используются как контролируемый источник имён персональных авторов и связанных вариантов заголовка.</w:t>
      </w:r>
    </w:p>
    <w:p>
      <w:pPr>
        <w:pStyle w:val="BodyText"/>
      </w:pPr>
      <w:r>
        <w:t xml:space="preserve">См. также:</w:t>
      </w:r>
      <w:r>
        <w:t xml:space="preserve"> </w:t>
      </w:r>
      <w:hyperlink r:id="rId9">
        <w:r>
          <w:rPr>
            <w:rStyle w:val="Hyperlink"/>
          </w:rPr>
          <w:t xml:space="preserve">признак иностранного агента в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ATHRA</w:t>
        </w:r>
      </w:hyperlink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ATHRA/Help/ForeignAgen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THRA/Help/ForeignAgen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2026-10-30T17:15:37Z</dcterms:created>
  <dcterms:modified xsi:type="dcterms:W3CDTF">2026-10-30T17:15:37Z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