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профилями настроек АРМ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управление-профилями-настроек-арм"/>
    <w:p>
      <w:pPr>
        <w:pStyle w:val="Heading1"/>
      </w:pPr>
      <w:r>
        <w:t xml:space="preserve">Управление профилями настроек АРМ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обслуживает иерархию профилей настроек АРМ, наследование параметров, сравнение профиля с родителем, назначение профилей пользователям и хранение пользовательских preference/overrides для системных target-объектов.</w:t>
      </w:r>
    </w:p>
    <w:bookmarkStart w:id="9" w:name="назначение-profilemanager"/>
    <w:p>
      <w:pPr>
        <w:pStyle w:val="Heading2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bookmarkStart w:id="10" w:name="пользовательские-preference-и-overrides"/>
    <w:p>
      <w:pPr>
        <w:pStyle w:val="Heading2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профилями настроек АРМ</dc:title>
  <dc:creator/>
  <cp:keywords/>
  <dcterms:created xsi:type="dcterms:W3CDTF">2026-11-03T15:38:07Z</dcterms:created>
  <dcterms:modified xsi:type="dcterms:W3CDTF">2026-11-03T15:38:07Z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